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3F8" w14:textId="4F2EA989" w:rsidR="001015F8" w:rsidRPr="00FD4110" w:rsidRDefault="001015F8" w:rsidP="000359EE">
      <w:pPr>
        <w:spacing w:after="161" w:line="250" w:lineRule="auto"/>
        <w:ind w:left="588" w:right="1150" w:hanging="10"/>
        <w:jc w:val="center"/>
        <w:rPr>
          <w:rFonts w:ascii="Arial" w:hAnsi="Arial" w:cs="Arial"/>
          <w:b/>
          <w:color w:val="FF0000"/>
        </w:rPr>
      </w:pPr>
      <w:r w:rsidRPr="00FD4110">
        <w:rPr>
          <w:rFonts w:ascii="Arial" w:hAnsi="Arial" w:cs="Arial"/>
          <w:b/>
          <w:color w:val="FF0000"/>
        </w:rPr>
        <w:t xml:space="preserve">DRAFT </w:t>
      </w:r>
      <w:r w:rsidR="00EE5836">
        <w:rPr>
          <w:rFonts w:ascii="Arial" w:hAnsi="Arial" w:cs="Arial"/>
          <w:b/>
          <w:color w:val="FF0000"/>
        </w:rPr>
        <w:t>5</w:t>
      </w:r>
      <w:r w:rsidR="000F1534">
        <w:rPr>
          <w:rFonts w:ascii="Arial" w:hAnsi="Arial" w:cs="Arial"/>
          <w:b/>
          <w:color w:val="FF0000"/>
        </w:rPr>
        <w:t>.1</w:t>
      </w:r>
      <w:r w:rsidR="006300C1">
        <w:rPr>
          <w:rFonts w:ascii="Arial" w:hAnsi="Arial" w:cs="Arial"/>
          <w:b/>
          <w:color w:val="FF0000"/>
        </w:rPr>
        <w:t>2</w:t>
      </w:r>
      <w:r w:rsidR="000F1534">
        <w:rPr>
          <w:rFonts w:ascii="Arial" w:hAnsi="Arial" w:cs="Arial"/>
          <w:b/>
          <w:color w:val="FF0000"/>
        </w:rPr>
        <w:t>.23</w:t>
      </w:r>
    </w:p>
    <w:p w14:paraId="7F80F24F" w14:textId="77777777" w:rsidR="001015F8" w:rsidRDefault="001015F8" w:rsidP="000359EE">
      <w:pPr>
        <w:spacing w:after="161" w:line="250" w:lineRule="auto"/>
        <w:ind w:left="588" w:right="1150" w:hanging="10"/>
        <w:jc w:val="center"/>
        <w:rPr>
          <w:rFonts w:ascii="Arial" w:hAnsi="Arial" w:cs="Arial"/>
          <w:b/>
        </w:rPr>
      </w:pPr>
    </w:p>
    <w:p w14:paraId="29BCD949" w14:textId="329E571E" w:rsidR="00D92462" w:rsidRDefault="0059774C" w:rsidP="000359EE">
      <w:pPr>
        <w:spacing w:after="161" w:line="250" w:lineRule="auto"/>
        <w:ind w:left="588" w:right="1150" w:hanging="10"/>
        <w:jc w:val="center"/>
        <w:rPr>
          <w:rFonts w:ascii="Arial" w:hAnsi="Arial" w:cs="Arial"/>
          <w:b/>
        </w:rPr>
      </w:pPr>
      <w:r w:rsidRPr="000359EE">
        <w:rPr>
          <w:rFonts w:ascii="Arial" w:hAnsi="Arial" w:cs="Arial"/>
          <w:b/>
        </w:rPr>
        <w:t>SECURITIES (AMENDMENT)</w:t>
      </w:r>
      <w:r w:rsidR="0076386A" w:rsidRPr="000359EE">
        <w:rPr>
          <w:rFonts w:ascii="Arial" w:hAnsi="Arial" w:cs="Arial"/>
          <w:b/>
        </w:rPr>
        <w:t xml:space="preserve"> ACT </w:t>
      </w:r>
      <w:r w:rsidRPr="000359EE">
        <w:rPr>
          <w:rFonts w:ascii="Arial" w:hAnsi="Arial" w:cs="Arial"/>
          <w:b/>
        </w:rPr>
        <w:t>2023</w:t>
      </w:r>
    </w:p>
    <w:p w14:paraId="235A9B08" w14:textId="6D5F36C0" w:rsidR="00FF1F65" w:rsidRPr="000359EE" w:rsidRDefault="00FF1F65" w:rsidP="000359EE">
      <w:pPr>
        <w:spacing w:after="161" w:line="250" w:lineRule="auto"/>
        <w:ind w:left="588" w:right="1150" w:hanging="10"/>
        <w:jc w:val="center"/>
        <w:rPr>
          <w:rFonts w:ascii="Arial" w:hAnsi="Arial" w:cs="Arial"/>
          <w:b/>
        </w:rPr>
      </w:pPr>
      <w:r>
        <w:rPr>
          <w:rFonts w:ascii="Arial" w:hAnsi="Arial" w:cs="Arial"/>
          <w:b/>
        </w:rPr>
        <w:t>ARRANGEMENT OF SECTIONS</w:t>
      </w:r>
    </w:p>
    <w:sdt>
      <w:sdtPr>
        <w:rPr>
          <w:rFonts w:ascii="Times New Roman" w:eastAsia="Times New Roman" w:hAnsi="Times New Roman" w:cs="Times New Roman"/>
          <w:color w:val="000000"/>
          <w:sz w:val="22"/>
          <w:szCs w:val="22"/>
          <w:lang w:val="en-GB" w:eastAsia="en-GB"/>
        </w:rPr>
        <w:id w:val="2108077279"/>
        <w:docPartObj>
          <w:docPartGallery w:val="Table of Contents"/>
          <w:docPartUnique/>
        </w:docPartObj>
      </w:sdtPr>
      <w:sdtEndPr>
        <w:rPr>
          <w:b/>
          <w:bCs/>
          <w:noProof/>
        </w:rPr>
      </w:sdtEndPr>
      <w:sdtContent>
        <w:p w14:paraId="6447BA32" w14:textId="7155EEA0" w:rsidR="009F7E09" w:rsidRPr="00FF1F65" w:rsidRDefault="00FF1F65">
          <w:pPr>
            <w:pStyle w:val="TOCHeading"/>
            <w:rPr>
              <w:color w:val="auto"/>
            </w:rPr>
          </w:pPr>
          <w:r w:rsidRPr="00FF1F65">
            <w:rPr>
              <w:color w:val="auto"/>
            </w:rPr>
            <w:t>Section</w:t>
          </w:r>
        </w:p>
        <w:p w14:paraId="1DBCFA83" w14:textId="7E0AD0B3" w:rsidR="007A7482" w:rsidRDefault="009F7E09">
          <w:pPr>
            <w:pStyle w:val="TOC3"/>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51283268" w:history="1">
            <w:r w:rsidR="007A7482" w:rsidRPr="001D3DCD">
              <w:rPr>
                <w:rStyle w:val="Hyperlink"/>
                <w:rFonts w:ascii="Arial" w:eastAsia="Arial" w:hAnsi="Arial" w:cs="Arial"/>
                <w:noProof/>
              </w:rPr>
              <w:t>1</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Short title</w:t>
            </w:r>
            <w:r w:rsidR="007A7482">
              <w:rPr>
                <w:noProof/>
                <w:webHidden/>
              </w:rPr>
              <w:tab/>
            </w:r>
            <w:r w:rsidR="007A7482">
              <w:rPr>
                <w:noProof/>
                <w:webHidden/>
              </w:rPr>
              <w:fldChar w:fldCharType="begin"/>
            </w:r>
            <w:r w:rsidR="007A7482">
              <w:rPr>
                <w:noProof/>
                <w:webHidden/>
              </w:rPr>
              <w:instrText xml:space="preserve"> PAGEREF _Toc151283268 \h </w:instrText>
            </w:r>
            <w:r w:rsidR="007A7482">
              <w:rPr>
                <w:noProof/>
                <w:webHidden/>
              </w:rPr>
            </w:r>
            <w:r w:rsidR="007A7482">
              <w:rPr>
                <w:noProof/>
                <w:webHidden/>
              </w:rPr>
              <w:fldChar w:fldCharType="separate"/>
            </w:r>
            <w:r w:rsidR="00806443">
              <w:rPr>
                <w:noProof/>
                <w:webHidden/>
              </w:rPr>
              <w:t>3</w:t>
            </w:r>
            <w:r w:rsidR="007A7482">
              <w:rPr>
                <w:noProof/>
                <w:webHidden/>
              </w:rPr>
              <w:fldChar w:fldCharType="end"/>
            </w:r>
          </w:hyperlink>
        </w:p>
        <w:p w14:paraId="75E3262A" w14:textId="26064B93" w:rsidR="007A7482" w:rsidRDefault="00B64038">
          <w:pPr>
            <w:pStyle w:val="TOC3"/>
            <w:rPr>
              <w:rFonts w:asciiTheme="minorHAnsi" w:eastAsiaTheme="minorEastAsia" w:hAnsiTheme="minorHAnsi" w:cstheme="minorBidi"/>
              <w:noProof/>
              <w:color w:val="auto"/>
              <w:kern w:val="2"/>
              <w14:ligatures w14:val="standardContextual"/>
            </w:rPr>
          </w:pPr>
          <w:hyperlink w:anchor="_Toc151283269" w:history="1">
            <w:r w:rsidR="007A7482" w:rsidRPr="001D3DCD">
              <w:rPr>
                <w:rStyle w:val="Hyperlink"/>
                <w:rFonts w:ascii="Arial" w:eastAsia="Arial" w:hAnsi="Arial" w:cs="Arial"/>
                <w:noProof/>
              </w:rPr>
              <w:t>2</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Interpretation</w:t>
            </w:r>
            <w:r w:rsidR="007A7482">
              <w:rPr>
                <w:noProof/>
                <w:webHidden/>
              </w:rPr>
              <w:tab/>
            </w:r>
            <w:r w:rsidR="007A7482">
              <w:rPr>
                <w:noProof/>
                <w:webHidden/>
              </w:rPr>
              <w:fldChar w:fldCharType="begin"/>
            </w:r>
            <w:r w:rsidR="007A7482">
              <w:rPr>
                <w:noProof/>
                <w:webHidden/>
              </w:rPr>
              <w:instrText xml:space="preserve"> PAGEREF _Toc151283269 \h </w:instrText>
            </w:r>
            <w:r w:rsidR="007A7482">
              <w:rPr>
                <w:noProof/>
                <w:webHidden/>
              </w:rPr>
            </w:r>
            <w:r w:rsidR="007A7482">
              <w:rPr>
                <w:noProof/>
                <w:webHidden/>
              </w:rPr>
              <w:fldChar w:fldCharType="separate"/>
            </w:r>
            <w:r w:rsidR="00806443">
              <w:rPr>
                <w:noProof/>
                <w:webHidden/>
              </w:rPr>
              <w:t>3</w:t>
            </w:r>
            <w:r w:rsidR="007A7482">
              <w:rPr>
                <w:noProof/>
                <w:webHidden/>
              </w:rPr>
              <w:fldChar w:fldCharType="end"/>
            </w:r>
          </w:hyperlink>
        </w:p>
        <w:p w14:paraId="263C0A67" w14:textId="1419BA04" w:rsidR="007A7482" w:rsidRDefault="00B64038">
          <w:pPr>
            <w:pStyle w:val="TOC3"/>
            <w:rPr>
              <w:rFonts w:asciiTheme="minorHAnsi" w:eastAsiaTheme="minorEastAsia" w:hAnsiTheme="minorHAnsi" w:cstheme="minorBidi"/>
              <w:noProof/>
              <w:color w:val="auto"/>
              <w:kern w:val="2"/>
              <w14:ligatures w14:val="standardContextual"/>
            </w:rPr>
          </w:pPr>
          <w:hyperlink w:anchor="_Toc151283270" w:history="1">
            <w:r w:rsidR="007A7482" w:rsidRPr="001D3DCD">
              <w:rPr>
                <w:rStyle w:val="Hyperlink"/>
                <w:rFonts w:ascii="Arial" w:eastAsia="Arial" w:hAnsi="Arial" w:cs="Arial"/>
                <w:noProof/>
              </w:rPr>
              <w:t>3</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2 of the principal Act amended</w:t>
            </w:r>
            <w:r w:rsidR="007A7482">
              <w:rPr>
                <w:noProof/>
                <w:webHidden/>
              </w:rPr>
              <w:tab/>
            </w:r>
            <w:r w:rsidR="007A7482">
              <w:rPr>
                <w:noProof/>
                <w:webHidden/>
              </w:rPr>
              <w:fldChar w:fldCharType="begin"/>
            </w:r>
            <w:r w:rsidR="007A7482">
              <w:rPr>
                <w:noProof/>
                <w:webHidden/>
              </w:rPr>
              <w:instrText xml:space="preserve"> PAGEREF _Toc151283270 \h </w:instrText>
            </w:r>
            <w:r w:rsidR="007A7482">
              <w:rPr>
                <w:noProof/>
                <w:webHidden/>
              </w:rPr>
            </w:r>
            <w:r w:rsidR="007A7482">
              <w:rPr>
                <w:noProof/>
                <w:webHidden/>
              </w:rPr>
              <w:fldChar w:fldCharType="separate"/>
            </w:r>
            <w:r w:rsidR="00806443">
              <w:rPr>
                <w:noProof/>
                <w:webHidden/>
              </w:rPr>
              <w:t>3</w:t>
            </w:r>
            <w:r w:rsidR="007A7482">
              <w:rPr>
                <w:noProof/>
                <w:webHidden/>
              </w:rPr>
              <w:fldChar w:fldCharType="end"/>
            </w:r>
          </w:hyperlink>
        </w:p>
        <w:p w14:paraId="6867CFAE" w14:textId="76C08BE3" w:rsidR="007A7482" w:rsidRDefault="00B64038">
          <w:pPr>
            <w:pStyle w:val="TOC3"/>
            <w:rPr>
              <w:rFonts w:asciiTheme="minorHAnsi" w:eastAsiaTheme="minorEastAsia" w:hAnsiTheme="minorHAnsi" w:cstheme="minorBidi"/>
              <w:noProof/>
              <w:color w:val="auto"/>
              <w:kern w:val="2"/>
              <w14:ligatures w14:val="standardContextual"/>
            </w:rPr>
          </w:pPr>
          <w:hyperlink w:anchor="_Toc151283271" w:history="1">
            <w:r w:rsidR="007A7482" w:rsidRPr="001D3DCD">
              <w:rPr>
                <w:rStyle w:val="Hyperlink"/>
                <w:rFonts w:ascii="Arial" w:eastAsia="Arial" w:hAnsi="Arial" w:cs="Arial"/>
                <w:noProof/>
              </w:rPr>
              <w:t>4</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6 of the principal Act amended</w:t>
            </w:r>
            <w:r w:rsidR="007A7482">
              <w:rPr>
                <w:noProof/>
                <w:webHidden/>
              </w:rPr>
              <w:tab/>
            </w:r>
            <w:r w:rsidR="007A7482">
              <w:rPr>
                <w:noProof/>
                <w:webHidden/>
              </w:rPr>
              <w:fldChar w:fldCharType="begin"/>
            </w:r>
            <w:r w:rsidR="007A7482">
              <w:rPr>
                <w:noProof/>
                <w:webHidden/>
              </w:rPr>
              <w:instrText xml:space="preserve"> PAGEREF _Toc151283271 \h </w:instrText>
            </w:r>
            <w:r w:rsidR="007A7482">
              <w:rPr>
                <w:noProof/>
                <w:webHidden/>
              </w:rPr>
            </w:r>
            <w:r w:rsidR="007A7482">
              <w:rPr>
                <w:noProof/>
                <w:webHidden/>
              </w:rPr>
              <w:fldChar w:fldCharType="separate"/>
            </w:r>
            <w:r w:rsidR="00806443">
              <w:rPr>
                <w:noProof/>
                <w:webHidden/>
              </w:rPr>
              <w:t>3</w:t>
            </w:r>
            <w:r w:rsidR="007A7482">
              <w:rPr>
                <w:noProof/>
                <w:webHidden/>
              </w:rPr>
              <w:fldChar w:fldCharType="end"/>
            </w:r>
          </w:hyperlink>
        </w:p>
        <w:p w14:paraId="7197443D" w14:textId="0BD06934" w:rsidR="007A7482" w:rsidRDefault="00B64038">
          <w:pPr>
            <w:pStyle w:val="TOC3"/>
            <w:rPr>
              <w:rFonts w:asciiTheme="minorHAnsi" w:eastAsiaTheme="minorEastAsia" w:hAnsiTheme="minorHAnsi" w:cstheme="minorBidi"/>
              <w:noProof/>
              <w:color w:val="auto"/>
              <w:kern w:val="2"/>
              <w14:ligatures w14:val="standardContextual"/>
            </w:rPr>
          </w:pPr>
          <w:hyperlink w:anchor="_Toc151283272" w:history="1">
            <w:r w:rsidR="007A7482" w:rsidRPr="001D3DCD">
              <w:rPr>
                <w:rStyle w:val="Hyperlink"/>
                <w:rFonts w:ascii="Arial" w:eastAsia="Arial" w:hAnsi="Arial" w:cs="Arial"/>
                <w:noProof/>
              </w:rPr>
              <w:t>5</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8A of the principal Act inserted</w:t>
            </w:r>
            <w:r w:rsidR="007A7482">
              <w:rPr>
                <w:noProof/>
                <w:webHidden/>
              </w:rPr>
              <w:tab/>
            </w:r>
            <w:r w:rsidR="007A7482">
              <w:rPr>
                <w:noProof/>
                <w:webHidden/>
              </w:rPr>
              <w:fldChar w:fldCharType="begin"/>
            </w:r>
            <w:r w:rsidR="007A7482">
              <w:rPr>
                <w:noProof/>
                <w:webHidden/>
              </w:rPr>
              <w:instrText xml:space="preserve"> PAGEREF _Toc151283272 \h </w:instrText>
            </w:r>
            <w:r w:rsidR="007A7482">
              <w:rPr>
                <w:noProof/>
                <w:webHidden/>
              </w:rPr>
            </w:r>
            <w:r w:rsidR="007A7482">
              <w:rPr>
                <w:noProof/>
                <w:webHidden/>
              </w:rPr>
              <w:fldChar w:fldCharType="separate"/>
            </w:r>
            <w:r w:rsidR="00806443">
              <w:rPr>
                <w:noProof/>
                <w:webHidden/>
              </w:rPr>
              <w:t>4</w:t>
            </w:r>
            <w:r w:rsidR="007A7482">
              <w:rPr>
                <w:noProof/>
                <w:webHidden/>
              </w:rPr>
              <w:fldChar w:fldCharType="end"/>
            </w:r>
          </w:hyperlink>
        </w:p>
        <w:p w14:paraId="5321C5EE" w14:textId="778D7D23" w:rsidR="007A7482" w:rsidRDefault="00B64038">
          <w:pPr>
            <w:pStyle w:val="TOC3"/>
            <w:rPr>
              <w:rFonts w:asciiTheme="minorHAnsi" w:eastAsiaTheme="minorEastAsia" w:hAnsiTheme="minorHAnsi" w:cstheme="minorBidi"/>
              <w:noProof/>
              <w:color w:val="auto"/>
              <w:kern w:val="2"/>
              <w14:ligatures w14:val="standardContextual"/>
            </w:rPr>
          </w:pPr>
          <w:hyperlink w:anchor="_Toc151283273" w:history="1">
            <w:r w:rsidR="007A7482" w:rsidRPr="001D3DCD">
              <w:rPr>
                <w:rStyle w:val="Hyperlink"/>
                <w:rFonts w:ascii="Arial" w:eastAsia="Arial" w:hAnsi="Arial" w:cs="Arial"/>
                <w:noProof/>
              </w:rPr>
              <w:t>6</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12 of the principal Act amended</w:t>
            </w:r>
            <w:r w:rsidR="007A7482">
              <w:rPr>
                <w:noProof/>
                <w:webHidden/>
              </w:rPr>
              <w:tab/>
            </w:r>
            <w:r w:rsidR="007A7482">
              <w:rPr>
                <w:noProof/>
                <w:webHidden/>
              </w:rPr>
              <w:fldChar w:fldCharType="begin"/>
            </w:r>
            <w:r w:rsidR="007A7482">
              <w:rPr>
                <w:noProof/>
                <w:webHidden/>
              </w:rPr>
              <w:instrText xml:space="preserve"> PAGEREF _Toc151283273 \h </w:instrText>
            </w:r>
            <w:r w:rsidR="007A7482">
              <w:rPr>
                <w:noProof/>
                <w:webHidden/>
              </w:rPr>
            </w:r>
            <w:r w:rsidR="007A7482">
              <w:rPr>
                <w:noProof/>
                <w:webHidden/>
              </w:rPr>
              <w:fldChar w:fldCharType="separate"/>
            </w:r>
            <w:r w:rsidR="00806443">
              <w:rPr>
                <w:noProof/>
                <w:webHidden/>
              </w:rPr>
              <w:t>5</w:t>
            </w:r>
            <w:r w:rsidR="007A7482">
              <w:rPr>
                <w:noProof/>
                <w:webHidden/>
              </w:rPr>
              <w:fldChar w:fldCharType="end"/>
            </w:r>
          </w:hyperlink>
        </w:p>
        <w:p w14:paraId="51B31958" w14:textId="3A0BEF39" w:rsidR="007A7482" w:rsidRDefault="00B64038">
          <w:pPr>
            <w:pStyle w:val="TOC3"/>
            <w:rPr>
              <w:rFonts w:asciiTheme="minorHAnsi" w:eastAsiaTheme="minorEastAsia" w:hAnsiTheme="minorHAnsi" w:cstheme="minorBidi"/>
              <w:noProof/>
              <w:color w:val="auto"/>
              <w:kern w:val="2"/>
              <w14:ligatures w14:val="standardContextual"/>
            </w:rPr>
          </w:pPr>
          <w:hyperlink w:anchor="_Toc151283274" w:history="1">
            <w:r w:rsidR="007A7482" w:rsidRPr="001D3DCD">
              <w:rPr>
                <w:rStyle w:val="Hyperlink"/>
                <w:rFonts w:ascii="Arial" w:eastAsia="Arial" w:hAnsi="Arial" w:cs="Arial"/>
                <w:noProof/>
              </w:rPr>
              <w:t>7</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13 of the principal Act amended</w:t>
            </w:r>
            <w:r w:rsidR="007A7482">
              <w:rPr>
                <w:noProof/>
                <w:webHidden/>
              </w:rPr>
              <w:tab/>
            </w:r>
            <w:r w:rsidR="007A7482">
              <w:rPr>
                <w:noProof/>
                <w:webHidden/>
              </w:rPr>
              <w:fldChar w:fldCharType="begin"/>
            </w:r>
            <w:r w:rsidR="007A7482">
              <w:rPr>
                <w:noProof/>
                <w:webHidden/>
              </w:rPr>
              <w:instrText xml:space="preserve"> PAGEREF _Toc151283274 \h </w:instrText>
            </w:r>
            <w:r w:rsidR="007A7482">
              <w:rPr>
                <w:noProof/>
                <w:webHidden/>
              </w:rPr>
            </w:r>
            <w:r w:rsidR="007A7482">
              <w:rPr>
                <w:noProof/>
                <w:webHidden/>
              </w:rPr>
              <w:fldChar w:fldCharType="separate"/>
            </w:r>
            <w:r w:rsidR="00806443">
              <w:rPr>
                <w:noProof/>
                <w:webHidden/>
              </w:rPr>
              <w:t>5</w:t>
            </w:r>
            <w:r w:rsidR="007A7482">
              <w:rPr>
                <w:noProof/>
                <w:webHidden/>
              </w:rPr>
              <w:fldChar w:fldCharType="end"/>
            </w:r>
          </w:hyperlink>
        </w:p>
        <w:p w14:paraId="5EE035A9" w14:textId="516E7498" w:rsidR="007A7482" w:rsidRDefault="00B64038">
          <w:pPr>
            <w:pStyle w:val="TOC3"/>
            <w:rPr>
              <w:rFonts w:asciiTheme="minorHAnsi" w:eastAsiaTheme="minorEastAsia" w:hAnsiTheme="minorHAnsi" w:cstheme="minorBidi"/>
              <w:noProof/>
              <w:color w:val="auto"/>
              <w:kern w:val="2"/>
              <w14:ligatures w14:val="standardContextual"/>
            </w:rPr>
          </w:pPr>
          <w:hyperlink w:anchor="_Toc151283275" w:history="1">
            <w:r w:rsidR="007A7482" w:rsidRPr="001D3DCD">
              <w:rPr>
                <w:rStyle w:val="Hyperlink"/>
                <w:rFonts w:ascii="Arial" w:eastAsia="Arial" w:hAnsi="Arial" w:cs="Arial"/>
                <w:noProof/>
              </w:rPr>
              <w:t>8</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17 of the principal Act amended</w:t>
            </w:r>
            <w:r w:rsidR="007A7482">
              <w:rPr>
                <w:noProof/>
                <w:webHidden/>
              </w:rPr>
              <w:tab/>
            </w:r>
            <w:r w:rsidR="007A7482">
              <w:rPr>
                <w:noProof/>
                <w:webHidden/>
              </w:rPr>
              <w:fldChar w:fldCharType="begin"/>
            </w:r>
            <w:r w:rsidR="007A7482">
              <w:rPr>
                <w:noProof/>
                <w:webHidden/>
              </w:rPr>
              <w:instrText xml:space="preserve"> PAGEREF _Toc151283275 \h </w:instrText>
            </w:r>
            <w:r w:rsidR="007A7482">
              <w:rPr>
                <w:noProof/>
                <w:webHidden/>
              </w:rPr>
            </w:r>
            <w:r w:rsidR="007A7482">
              <w:rPr>
                <w:noProof/>
                <w:webHidden/>
              </w:rPr>
              <w:fldChar w:fldCharType="separate"/>
            </w:r>
            <w:r w:rsidR="00806443">
              <w:rPr>
                <w:noProof/>
                <w:webHidden/>
              </w:rPr>
              <w:t>5</w:t>
            </w:r>
            <w:r w:rsidR="007A7482">
              <w:rPr>
                <w:noProof/>
                <w:webHidden/>
              </w:rPr>
              <w:fldChar w:fldCharType="end"/>
            </w:r>
          </w:hyperlink>
        </w:p>
        <w:p w14:paraId="5A77756D" w14:textId="4757ECBA" w:rsidR="007A7482" w:rsidRDefault="00B64038">
          <w:pPr>
            <w:pStyle w:val="TOC3"/>
            <w:rPr>
              <w:rFonts w:asciiTheme="minorHAnsi" w:eastAsiaTheme="minorEastAsia" w:hAnsiTheme="minorHAnsi" w:cstheme="minorBidi"/>
              <w:noProof/>
              <w:color w:val="auto"/>
              <w:kern w:val="2"/>
              <w14:ligatures w14:val="standardContextual"/>
            </w:rPr>
          </w:pPr>
          <w:hyperlink w:anchor="_Toc151283276" w:history="1">
            <w:r w:rsidR="007A7482" w:rsidRPr="001D3DCD">
              <w:rPr>
                <w:rStyle w:val="Hyperlink"/>
                <w:rFonts w:ascii="Arial" w:eastAsia="Arial" w:hAnsi="Arial" w:cs="Arial"/>
                <w:noProof/>
              </w:rPr>
              <w:t>9</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24 of the principal Act amended</w:t>
            </w:r>
            <w:r w:rsidR="007A7482">
              <w:rPr>
                <w:noProof/>
                <w:webHidden/>
              </w:rPr>
              <w:tab/>
            </w:r>
            <w:r w:rsidR="007A7482">
              <w:rPr>
                <w:noProof/>
                <w:webHidden/>
              </w:rPr>
              <w:fldChar w:fldCharType="begin"/>
            </w:r>
            <w:r w:rsidR="007A7482">
              <w:rPr>
                <w:noProof/>
                <w:webHidden/>
              </w:rPr>
              <w:instrText xml:space="preserve"> PAGEREF _Toc151283276 \h </w:instrText>
            </w:r>
            <w:r w:rsidR="007A7482">
              <w:rPr>
                <w:noProof/>
                <w:webHidden/>
              </w:rPr>
            </w:r>
            <w:r w:rsidR="007A7482">
              <w:rPr>
                <w:noProof/>
                <w:webHidden/>
              </w:rPr>
              <w:fldChar w:fldCharType="separate"/>
            </w:r>
            <w:r w:rsidR="00806443">
              <w:rPr>
                <w:noProof/>
                <w:webHidden/>
              </w:rPr>
              <w:t>5</w:t>
            </w:r>
            <w:r w:rsidR="007A7482">
              <w:rPr>
                <w:noProof/>
                <w:webHidden/>
              </w:rPr>
              <w:fldChar w:fldCharType="end"/>
            </w:r>
          </w:hyperlink>
        </w:p>
        <w:p w14:paraId="33E0B90E" w14:textId="04771C45" w:rsidR="007A7482" w:rsidRDefault="00B64038">
          <w:pPr>
            <w:pStyle w:val="TOC3"/>
            <w:rPr>
              <w:rFonts w:asciiTheme="minorHAnsi" w:eastAsiaTheme="minorEastAsia" w:hAnsiTheme="minorHAnsi" w:cstheme="minorBidi"/>
              <w:noProof/>
              <w:color w:val="auto"/>
              <w:kern w:val="2"/>
              <w14:ligatures w14:val="standardContextual"/>
            </w:rPr>
          </w:pPr>
          <w:hyperlink w:anchor="_Toc151283277" w:history="1">
            <w:r w:rsidR="007A7482" w:rsidRPr="001D3DCD">
              <w:rPr>
                <w:rStyle w:val="Hyperlink"/>
                <w:rFonts w:ascii="Arial" w:eastAsia="Arial" w:hAnsi="Arial" w:cs="Arial"/>
                <w:noProof/>
              </w:rPr>
              <w:t>10</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31 of the principal Act amended</w:t>
            </w:r>
            <w:r w:rsidR="007A7482">
              <w:rPr>
                <w:noProof/>
                <w:webHidden/>
              </w:rPr>
              <w:tab/>
            </w:r>
            <w:r w:rsidR="007A7482">
              <w:rPr>
                <w:noProof/>
                <w:webHidden/>
              </w:rPr>
              <w:fldChar w:fldCharType="begin"/>
            </w:r>
            <w:r w:rsidR="007A7482">
              <w:rPr>
                <w:noProof/>
                <w:webHidden/>
              </w:rPr>
              <w:instrText xml:space="preserve"> PAGEREF _Toc151283277 \h </w:instrText>
            </w:r>
            <w:r w:rsidR="007A7482">
              <w:rPr>
                <w:noProof/>
                <w:webHidden/>
              </w:rPr>
            </w:r>
            <w:r w:rsidR="007A7482">
              <w:rPr>
                <w:noProof/>
                <w:webHidden/>
              </w:rPr>
              <w:fldChar w:fldCharType="separate"/>
            </w:r>
            <w:r w:rsidR="00806443">
              <w:rPr>
                <w:noProof/>
                <w:webHidden/>
              </w:rPr>
              <w:t>6</w:t>
            </w:r>
            <w:r w:rsidR="007A7482">
              <w:rPr>
                <w:noProof/>
                <w:webHidden/>
              </w:rPr>
              <w:fldChar w:fldCharType="end"/>
            </w:r>
          </w:hyperlink>
        </w:p>
        <w:p w14:paraId="4F281B7C" w14:textId="3418F990" w:rsidR="007A7482" w:rsidRDefault="00B64038">
          <w:pPr>
            <w:pStyle w:val="TOC3"/>
            <w:rPr>
              <w:rFonts w:asciiTheme="minorHAnsi" w:eastAsiaTheme="minorEastAsia" w:hAnsiTheme="minorHAnsi" w:cstheme="minorBidi"/>
              <w:noProof/>
              <w:color w:val="auto"/>
              <w:kern w:val="2"/>
              <w14:ligatures w14:val="standardContextual"/>
            </w:rPr>
          </w:pPr>
          <w:hyperlink w:anchor="_Toc151283278" w:history="1">
            <w:r w:rsidR="007A7482" w:rsidRPr="001D3DCD">
              <w:rPr>
                <w:rStyle w:val="Hyperlink"/>
                <w:rFonts w:ascii="Arial" w:eastAsia="Arial" w:hAnsi="Arial" w:cs="Arial"/>
                <w:noProof/>
              </w:rPr>
              <w:t>11</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31A of the principal Act inserted</w:t>
            </w:r>
            <w:r w:rsidR="007A7482">
              <w:rPr>
                <w:noProof/>
                <w:webHidden/>
              </w:rPr>
              <w:tab/>
            </w:r>
            <w:r w:rsidR="007A7482">
              <w:rPr>
                <w:noProof/>
                <w:webHidden/>
              </w:rPr>
              <w:fldChar w:fldCharType="begin"/>
            </w:r>
            <w:r w:rsidR="007A7482">
              <w:rPr>
                <w:noProof/>
                <w:webHidden/>
              </w:rPr>
              <w:instrText xml:space="preserve"> PAGEREF _Toc151283278 \h </w:instrText>
            </w:r>
            <w:r w:rsidR="007A7482">
              <w:rPr>
                <w:noProof/>
                <w:webHidden/>
              </w:rPr>
            </w:r>
            <w:r w:rsidR="007A7482">
              <w:rPr>
                <w:noProof/>
                <w:webHidden/>
              </w:rPr>
              <w:fldChar w:fldCharType="separate"/>
            </w:r>
            <w:r w:rsidR="00806443">
              <w:rPr>
                <w:noProof/>
                <w:webHidden/>
              </w:rPr>
              <w:t>6</w:t>
            </w:r>
            <w:r w:rsidR="007A7482">
              <w:rPr>
                <w:noProof/>
                <w:webHidden/>
              </w:rPr>
              <w:fldChar w:fldCharType="end"/>
            </w:r>
          </w:hyperlink>
        </w:p>
        <w:p w14:paraId="50B3563D" w14:textId="326194F1" w:rsidR="007A7482" w:rsidRDefault="00B64038">
          <w:pPr>
            <w:pStyle w:val="TOC3"/>
            <w:rPr>
              <w:rFonts w:asciiTheme="minorHAnsi" w:eastAsiaTheme="minorEastAsia" w:hAnsiTheme="minorHAnsi" w:cstheme="minorBidi"/>
              <w:noProof/>
              <w:color w:val="auto"/>
              <w:kern w:val="2"/>
              <w14:ligatures w14:val="standardContextual"/>
            </w:rPr>
          </w:pPr>
          <w:hyperlink w:anchor="_Toc151283279" w:history="1">
            <w:r w:rsidR="007A7482" w:rsidRPr="001D3DCD">
              <w:rPr>
                <w:rStyle w:val="Hyperlink"/>
                <w:rFonts w:ascii="Arial" w:eastAsia="Arial" w:hAnsi="Arial" w:cs="Arial"/>
                <w:noProof/>
              </w:rPr>
              <w:t>12</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34A of the principal Act inserted</w:t>
            </w:r>
            <w:r w:rsidR="007A7482">
              <w:rPr>
                <w:noProof/>
                <w:webHidden/>
              </w:rPr>
              <w:tab/>
            </w:r>
            <w:r w:rsidR="007A7482">
              <w:rPr>
                <w:noProof/>
                <w:webHidden/>
              </w:rPr>
              <w:fldChar w:fldCharType="begin"/>
            </w:r>
            <w:r w:rsidR="007A7482">
              <w:rPr>
                <w:noProof/>
                <w:webHidden/>
              </w:rPr>
              <w:instrText xml:space="preserve"> PAGEREF _Toc151283279 \h </w:instrText>
            </w:r>
            <w:r w:rsidR="007A7482">
              <w:rPr>
                <w:noProof/>
                <w:webHidden/>
              </w:rPr>
            </w:r>
            <w:r w:rsidR="007A7482">
              <w:rPr>
                <w:noProof/>
                <w:webHidden/>
              </w:rPr>
              <w:fldChar w:fldCharType="separate"/>
            </w:r>
            <w:r w:rsidR="00806443">
              <w:rPr>
                <w:noProof/>
                <w:webHidden/>
              </w:rPr>
              <w:t>9</w:t>
            </w:r>
            <w:r w:rsidR="007A7482">
              <w:rPr>
                <w:noProof/>
                <w:webHidden/>
              </w:rPr>
              <w:fldChar w:fldCharType="end"/>
            </w:r>
          </w:hyperlink>
        </w:p>
        <w:p w14:paraId="0B00351C" w14:textId="460BF604" w:rsidR="007A7482" w:rsidRDefault="00B64038">
          <w:pPr>
            <w:pStyle w:val="TOC3"/>
            <w:rPr>
              <w:rFonts w:asciiTheme="minorHAnsi" w:eastAsiaTheme="minorEastAsia" w:hAnsiTheme="minorHAnsi" w:cstheme="minorBidi"/>
              <w:noProof/>
              <w:color w:val="auto"/>
              <w:kern w:val="2"/>
              <w14:ligatures w14:val="standardContextual"/>
            </w:rPr>
          </w:pPr>
          <w:hyperlink w:anchor="_Toc151283280" w:history="1">
            <w:r w:rsidR="007A7482" w:rsidRPr="001D3DCD">
              <w:rPr>
                <w:rStyle w:val="Hyperlink"/>
                <w:rFonts w:ascii="Arial" w:eastAsia="Arial" w:hAnsi="Arial" w:cs="Arial"/>
                <w:noProof/>
              </w:rPr>
              <w:t>13</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Part III, Sup-part F amended</w:t>
            </w:r>
            <w:r w:rsidR="007A7482">
              <w:rPr>
                <w:noProof/>
                <w:webHidden/>
              </w:rPr>
              <w:tab/>
            </w:r>
            <w:r w:rsidR="007A7482">
              <w:rPr>
                <w:noProof/>
                <w:webHidden/>
              </w:rPr>
              <w:fldChar w:fldCharType="begin"/>
            </w:r>
            <w:r w:rsidR="007A7482">
              <w:rPr>
                <w:noProof/>
                <w:webHidden/>
              </w:rPr>
              <w:instrText xml:space="preserve"> PAGEREF _Toc151283280 \h </w:instrText>
            </w:r>
            <w:r w:rsidR="007A7482">
              <w:rPr>
                <w:noProof/>
                <w:webHidden/>
              </w:rPr>
            </w:r>
            <w:r w:rsidR="007A7482">
              <w:rPr>
                <w:noProof/>
                <w:webHidden/>
              </w:rPr>
              <w:fldChar w:fldCharType="separate"/>
            </w:r>
            <w:r w:rsidR="00806443">
              <w:rPr>
                <w:noProof/>
                <w:webHidden/>
              </w:rPr>
              <w:t>9</w:t>
            </w:r>
            <w:r w:rsidR="007A7482">
              <w:rPr>
                <w:noProof/>
                <w:webHidden/>
              </w:rPr>
              <w:fldChar w:fldCharType="end"/>
            </w:r>
          </w:hyperlink>
        </w:p>
        <w:p w14:paraId="22022992" w14:textId="4D22EF81" w:rsidR="007A7482" w:rsidRDefault="00B64038">
          <w:pPr>
            <w:pStyle w:val="TOC3"/>
            <w:rPr>
              <w:rFonts w:asciiTheme="minorHAnsi" w:eastAsiaTheme="minorEastAsia" w:hAnsiTheme="minorHAnsi" w:cstheme="minorBidi"/>
              <w:noProof/>
              <w:color w:val="auto"/>
              <w:kern w:val="2"/>
              <w14:ligatures w14:val="standardContextual"/>
            </w:rPr>
          </w:pPr>
          <w:hyperlink w:anchor="_Toc151283281" w:history="1">
            <w:r w:rsidR="007A7482" w:rsidRPr="001D3DCD">
              <w:rPr>
                <w:rStyle w:val="Hyperlink"/>
                <w:rFonts w:ascii="Arial" w:eastAsia="Arial" w:hAnsi="Arial" w:cs="Arial"/>
                <w:noProof/>
              </w:rPr>
              <w:t>14</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55 of the principal Act amended</w:t>
            </w:r>
            <w:r w:rsidR="007A7482">
              <w:rPr>
                <w:noProof/>
                <w:webHidden/>
              </w:rPr>
              <w:tab/>
            </w:r>
            <w:r w:rsidR="007A7482">
              <w:rPr>
                <w:noProof/>
                <w:webHidden/>
              </w:rPr>
              <w:fldChar w:fldCharType="begin"/>
            </w:r>
            <w:r w:rsidR="007A7482">
              <w:rPr>
                <w:noProof/>
                <w:webHidden/>
              </w:rPr>
              <w:instrText xml:space="preserve"> PAGEREF _Toc151283281 \h </w:instrText>
            </w:r>
            <w:r w:rsidR="007A7482">
              <w:rPr>
                <w:noProof/>
                <w:webHidden/>
              </w:rPr>
            </w:r>
            <w:r w:rsidR="007A7482">
              <w:rPr>
                <w:noProof/>
                <w:webHidden/>
              </w:rPr>
              <w:fldChar w:fldCharType="separate"/>
            </w:r>
            <w:r w:rsidR="00806443">
              <w:rPr>
                <w:noProof/>
                <w:webHidden/>
              </w:rPr>
              <w:t>9</w:t>
            </w:r>
            <w:r w:rsidR="007A7482">
              <w:rPr>
                <w:noProof/>
                <w:webHidden/>
              </w:rPr>
              <w:fldChar w:fldCharType="end"/>
            </w:r>
          </w:hyperlink>
        </w:p>
        <w:p w14:paraId="48019AEF" w14:textId="66AFFD87" w:rsidR="007A7482" w:rsidRDefault="00B64038">
          <w:pPr>
            <w:pStyle w:val="TOC3"/>
            <w:rPr>
              <w:rFonts w:asciiTheme="minorHAnsi" w:eastAsiaTheme="minorEastAsia" w:hAnsiTheme="minorHAnsi" w:cstheme="minorBidi"/>
              <w:noProof/>
              <w:color w:val="auto"/>
              <w:kern w:val="2"/>
              <w14:ligatures w14:val="standardContextual"/>
            </w:rPr>
          </w:pPr>
          <w:hyperlink w:anchor="_Toc151283282" w:history="1">
            <w:r w:rsidR="007A7482" w:rsidRPr="001D3DCD">
              <w:rPr>
                <w:rStyle w:val="Hyperlink"/>
                <w:rFonts w:ascii="Arial" w:eastAsia="Arial" w:hAnsi="Arial" w:cs="Arial"/>
                <w:noProof/>
              </w:rPr>
              <w:t>15</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55A of the principal Act inserted</w:t>
            </w:r>
            <w:r w:rsidR="007A7482">
              <w:rPr>
                <w:noProof/>
                <w:webHidden/>
              </w:rPr>
              <w:tab/>
            </w:r>
            <w:r w:rsidR="007A7482">
              <w:rPr>
                <w:noProof/>
                <w:webHidden/>
              </w:rPr>
              <w:fldChar w:fldCharType="begin"/>
            </w:r>
            <w:r w:rsidR="007A7482">
              <w:rPr>
                <w:noProof/>
                <w:webHidden/>
              </w:rPr>
              <w:instrText xml:space="preserve"> PAGEREF _Toc151283282 \h </w:instrText>
            </w:r>
            <w:r w:rsidR="007A7482">
              <w:rPr>
                <w:noProof/>
                <w:webHidden/>
              </w:rPr>
            </w:r>
            <w:r w:rsidR="007A7482">
              <w:rPr>
                <w:noProof/>
                <w:webHidden/>
              </w:rPr>
              <w:fldChar w:fldCharType="separate"/>
            </w:r>
            <w:r w:rsidR="00806443">
              <w:rPr>
                <w:noProof/>
                <w:webHidden/>
              </w:rPr>
              <w:t>9</w:t>
            </w:r>
            <w:r w:rsidR="007A7482">
              <w:rPr>
                <w:noProof/>
                <w:webHidden/>
              </w:rPr>
              <w:fldChar w:fldCharType="end"/>
            </w:r>
          </w:hyperlink>
        </w:p>
        <w:p w14:paraId="00A194F3" w14:textId="34D8E275" w:rsidR="007A7482" w:rsidRDefault="00B64038">
          <w:pPr>
            <w:pStyle w:val="TOC3"/>
            <w:rPr>
              <w:rFonts w:asciiTheme="minorHAnsi" w:eastAsiaTheme="minorEastAsia" w:hAnsiTheme="minorHAnsi" w:cstheme="minorBidi"/>
              <w:noProof/>
              <w:color w:val="auto"/>
              <w:kern w:val="2"/>
              <w14:ligatures w14:val="standardContextual"/>
            </w:rPr>
          </w:pPr>
          <w:hyperlink w:anchor="_Toc151283283" w:history="1">
            <w:r w:rsidR="007A7482" w:rsidRPr="001D3DCD">
              <w:rPr>
                <w:rStyle w:val="Hyperlink"/>
                <w:rFonts w:ascii="Arial" w:eastAsia="Arial" w:hAnsi="Arial" w:cs="Arial"/>
                <w:noProof/>
              </w:rPr>
              <w:t>16</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70 of the principal Act amended</w:t>
            </w:r>
            <w:r w:rsidR="007A7482">
              <w:rPr>
                <w:noProof/>
                <w:webHidden/>
              </w:rPr>
              <w:tab/>
            </w:r>
            <w:r w:rsidR="007A7482">
              <w:rPr>
                <w:noProof/>
                <w:webHidden/>
              </w:rPr>
              <w:fldChar w:fldCharType="begin"/>
            </w:r>
            <w:r w:rsidR="007A7482">
              <w:rPr>
                <w:noProof/>
                <w:webHidden/>
              </w:rPr>
              <w:instrText xml:space="preserve"> PAGEREF _Toc151283283 \h </w:instrText>
            </w:r>
            <w:r w:rsidR="007A7482">
              <w:rPr>
                <w:noProof/>
                <w:webHidden/>
              </w:rPr>
            </w:r>
            <w:r w:rsidR="007A7482">
              <w:rPr>
                <w:noProof/>
                <w:webHidden/>
              </w:rPr>
              <w:fldChar w:fldCharType="separate"/>
            </w:r>
            <w:r w:rsidR="00806443">
              <w:rPr>
                <w:noProof/>
                <w:webHidden/>
              </w:rPr>
              <w:t>10</w:t>
            </w:r>
            <w:r w:rsidR="007A7482">
              <w:rPr>
                <w:noProof/>
                <w:webHidden/>
              </w:rPr>
              <w:fldChar w:fldCharType="end"/>
            </w:r>
          </w:hyperlink>
        </w:p>
        <w:p w14:paraId="51DBE4C0" w14:textId="3215562D" w:rsidR="007A7482" w:rsidRDefault="00B64038">
          <w:pPr>
            <w:pStyle w:val="TOC3"/>
            <w:rPr>
              <w:rFonts w:asciiTheme="minorHAnsi" w:eastAsiaTheme="minorEastAsia" w:hAnsiTheme="minorHAnsi" w:cstheme="minorBidi"/>
              <w:noProof/>
              <w:color w:val="auto"/>
              <w:kern w:val="2"/>
              <w14:ligatures w14:val="standardContextual"/>
            </w:rPr>
          </w:pPr>
          <w:hyperlink w:anchor="_Toc151283284" w:history="1">
            <w:r w:rsidR="007A7482" w:rsidRPr="001D3DCD">
              <w:rPr>
                <w:rStyle w:val="Hyperlink"/>
                <w:rFonts w:ascii="Arial" w:eastAsia="Arial" w:hAnsi="Arial" w:cs="Arial"/>
                <w:noProof/>
              </w:rPr>
              <w:t>17</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71 of the principal Act repeal and replaced</w:t>
            </w:r>
            <w:r w:rsidR="007A7482">
              <w:rPr>
                <w:noProof/>
                <w:webHidden/>
              </w:rPr>
              <w:tab/>
            </w:r>
            <w:r w:rsidR="007A7482">
              <w:rPr>
                <w:noProof/>
                <w:webHidden/>
              </w:rPr>
              <w:fldChar w:fldCharType="begin"/>
            </w:r>
            <w:r w:rsidR="007A7482">
              <w:rPr>
                <w:noProof/>
                <w:webHidden/>
              </w:rPr>
              <w:instrText xml:space="preserve"> PAGEREF _Toc151283284 \h </w:instrText>
            </w:r>
            <w:r w:rsidR="007A7482">
              <w:rPr>
                <w:noProof/>
                <w:webHidden/>
              </w:rPr>
            </w:r>
            <w:r w:rsidR="007A7482">
              <w:rPr>
                <w:noProof/>
                <w:webHidden/>
              </w:rPr>
              <w:fldChar w:fldCharType="separate"/>
            </w:r>
            <w:r w:rsidR="00806443">
              <w:rPr>
                <w:noProof/>
                <w:webHidden/>
              </w:rPr>
              <w:t>10</w:t>
            </w:r>
            <w:r w:rsidR="007A7482">
              <w:rPr>
                <w:noProof/>
                <w:webHidden/>
              </w:rPr>
              <w:fldChar w:fldCharType="end"/>
            </w:r>
          </w:hyperlink>
        </w:p>
        <w:p w14:paraId="7BE3759C" w14:textId="1773BBF0" w:rsidR="007A7482" w:rsidRDefault="00B64038">
          <w:pPr>
            <w:pStyle w:val="TOC3"/>
            <w:rPr>
              <w:rFonts w:asciiTheme="minorHAnsi" w:eastAsiaTheme="minorEastAsia" w:hAnsiTheme="minorHAnsi" w:cstheme="minorBidi"/>
              <w:noProof/>
              <w:color w:val="auto"/>
              <w:kern w:val="2"/>
              <w14:ligatures w14:val="standardContextual"/>
            </w:rPr>
          </w:pPr>
          <w:hyperlink w:anchor="_Toc151283285" w:history="1">
            <w:r w:rsidR="007A7482" w:rsidRPr="001D3DCD">
              <w:rPr>
                <w:rStyle w:val="Hyperlink"/>
                <w:rFonts w:ascii="Arial" w:eastAsia="Arial" w:hAnsi="Arial" w:cs="Arial"/>
                <w:noProof/>
              </w:rPr>
              <w:t>18</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79A of the principal Act inserted</w:t>
            </w:r>
            <w:r w:rsidR="007A7482">
              <w:rPr>
                <w:noProof/>
                <w:webHidden/>
              </w:rPr>
              <w:tab/>
            </w:r>
            <w:r w:rsidR="007A7482">
              <w:rPr>
                <w:noProof/>
                <w:webHidden/>
              </w:rPr>
              <w:fldChar w:fldCharType="begin"/>
            </w:r>
            <w:r w:rsidR="007A7482">
              <w:rPr>
                <w:noProof/>
                <w:webHidden/>
              </w:rPr>
              <w:instrText xml:space="preserve"> PAGEREF _Toc151283285 \h </w:instrText>
            </w:r>
            <w:r w:rsidR="007A7482">
              <w:rPr>
                <w:noProof/>
                <w:webHidden/>
              </w:rPr>
            </w:r>
            <w:r w:rsidR="007A7482">
              <w:rPr>
                <w:noProof/>
                <w:webHidden/>
              </w:rPr>
              <w:fldChar w:fldCharType="separate"/>
            </w:r>
            <w:r w:rsidR="00806443">
              <w:rPr>
                <w:noProof/>
                <w:webHidden/>
              </w:rPr>
              <w:t>11</w:t>
            </w:r>
            <w:r w:rsidR="007A7482">
              <w:rPr>
                <w:noProof/>
                <w:webHidden/>
              </w:rPr>
              <w:fldChar w:fldCharType="end"/>
            </w:r>
          </w:hyperlink>
        </w:p>
        <w:p w14:paraId="6023E17F" w14:textId="18FC3264" w:rsidR="007A7482" w:rsidRDefault="00B64038">
          <w:pPr>
            <w:pStyle w:val="TOC3"/>
            <w:rPr>
              <w:rFonts w:asciiTheme="minorHAnsi" w:eastAsiaTheme="minorEastAsia" w:hAnsiTheme="minorHAnsi" w:cstheme="minorBidi"/>
              <w:noProof/>
              <w:color w:val="auto"/>
              <w:kern w:val="2"/>
              <w14:ligatures w14:val="standardContextual"/>
            </w:rPr>
          </w:pPr>
          <w:hyperlink w:anchor="_Toc151283286" w:history="1">
            <w:r w:rsidR="007A7482" w:rsidRPr="001D3DCD">
              <w:rPr>
                <w:rStyle w:val="Hyperlink"/>
                <w:rFonts w:eastAsia="Arial"/>
                <w:noProof/>
              </w:rPr>
              <w:t>19</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86 of the principal Act amended</w:t>
            </w:r>
            <w:r w:rsidR="007A7482">
              <w:rPr>
                <w:noProof/>
                <w:webHidden/>
              </w:rPr>
              <w:tab/>
            </w:r>
            <w:r w:rsidR="007A7482">
              <w:rPr>
                <w:noProof/>
                <w:webHidden/>
              </w:rPr>
              <w:fldChar w:fldCharType="begin"/>
            </w:r>
            <w:r w:rsidR="007A7482">
              <w:rPr>
                <w:noProof/>
                <w:webHidden/>
              </w:rPr>
              <w:instrText xml:space="preserve"> PAGEREF _Toc151283286 \h </w:instrText>
            </w:r>
            <w:r w:rsidR="007A7482">
              <w:rPr>
                <w:noProof/>
                <w:webHidden/>
              </w:rPr>
            </w:r>
            <w:r w:rsidR="007A7482">
              <w:rPr>
                <w:noProof/>
                <w:webHidden/>
              </w:rPr>
              <w:fldChar w:fldCharType="separate"/>
            </w:r>
            <w:r w:rsidR="00806443">
              <w:rPr>
                <w:noProof/>
                <w:webHidden/>
              </w:rPr>
              <w:t>11</w:t>
            </w:r>
            <w:r w:rsidR="007A7482">
              <w:rPr>
                <w:noProof/>
                <w:webHidden/>
              </w:rPr>
              <w:fldChar w:fldCharType="end"/>
            </w:r>
          </w:hyperlink>
        </w:p>
        <w:p w14:paraId="5B8EC0D8" w14:textId="316B941B" w:rsidR="007A7482" w:rsidRDefault="00B64038">
          <w:pPr>
            <w:pStyle w:val="TOC3"/>
            <w:rPr>
              <w:rFonts w:asciiTheme="minorHAnsi" w:eastAsiaTheme="minorEastAsia" w:hAnsiTheme="minorHAnsi" w:cstheme="minorBidi"/>
              <w:noProof/>
              <w:color w:val="auto"/>
              <w:kern w:val="2"/>
              <w14:ligatures w14:val="standardContextual"/>
            </w:rPr>
          </w:pPr>
          <w:hyperlink w:anchor="_Toc151283287" w:history="1">
            <w:r w:rsidR="007A7482" w:rsidRPr="001D3DCD">
              <w:rPr>
                <w:rStyle w:val="Hyperlink"/>
                <w:rFonts w:ascii="Arial" w:eastAsia="Arial" w:hAnsi="Arial" w:cs="Arial"/>
                <w:noProof/>
              </w:rPr>
              <w:t>20</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87 of the principal Act amended</w:t>
            </w:r>
            <w:r w:rsidR="007A7482">
              <w:rPr>
                <w:noProof/>
                <w:webHidden/>
              </w:rPr>
              <w:tab/>
            </w:r>
            <w:r w:rsidR="007A7482">
              <w:rPr>
                <w:noProof/>
                <w:webHidden/>
              </w:rPr>
              <w:fldChar w:fldCharType="begin"/>
            </w:r>
            <w:r w:rsidR="007A7482">
              <w:rPr>
                <w:noProof/>
                <w:webHidden/>
              </w:rPr>
              <w:instrText xml:space="preserve"> PAGEREF _Toc151283287 \h </w:instrText>
            </w:r>
            <w:r w:rsidR="007A7482">
              <w:rPr>
                <w:noProof/>
                <w:webHidden/>
              </w:rPr>
            </w:r>
            <w:r w:rsidR="007A7482">
              <w:rPr>
                <w:noProof/>
                <w:webHidden/>
              </w:rPr>
              <w:fldChar w:fldCharType="separate"/>
            </w:r>
            <w:r w:rsidR="00806443">
              <w:rPr>
                <w:noProof/>
                <w:webHidden/>
              </w:rPr>
              <w:t>11</w:t>
            </w:r>
            <w:r w:rsidR="007A7482">
              <w:rPr>
                <w:noProof/>
                <w:webHidden/>
              </w:rPr>
              <w:fldChar w:fldCharType="end"/>
            </w:r>
          </w:hyperlink>
        </w:p>
        <w:p w14:paraId="0E88F40A" w14:textId="17BD1A15" w:rsidR="007A7482" w:rsidRDefault="00B64038">
          <w:pPr>
            <w:pStyle w:val="TOC3"/>
            <w:rPr>
              <w:rFonts w:asciiTheme="minorHAnsi" w:eastAsiaTheme="minorEastAsia" w:hAnsiTheme="minorHAnsi" w:cstheme="minorBidi"/>
              <w:noProof/>
              <w:color w:val="auto"/>
              <w:kern w:val="2"/>
              <w14:ligatures w14:val="standardContextual"/>
            </w:rPr>
          </w:pPr>
          <w:hyperlink w:anchor="_Toc151283288" w:history="1">
            <w:r w:rsidR="007A7482" w:rsidRPr="001D3DCD">
              <w:rPr>
                <w:rStyle w:val="Hyperlink"/>
                <w:rFonts w:eastAsia="Calibri" w:cs="Calibri"/>
                <w:noProof/>
              </w:rPr>
              <w:t>21</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88 of the principal Act amended</w:t>
            </w:r>
            <w:r w:rsidR="007A7482">
              <w:rPr>
                <w:noProof/>
                <w:webHidden/>
              </w:rPr>
              <w:tab/>
            </w:r>
            <w:r w:rsidR="007A7482">
              <w:rPr>
                <w:noProof/>
                <w:webHidden/>
              </w:rPr>
              <w:fldChar w:fldCharType="begin"/>
            </w:r>
            <w:r w:rsidR="007A7482">
              <w:rPr>
                <w:noProof/>
                <w:webHidden/>
              </w:rPr>
              <w:instrText xml:space="preserve"> PAGEREF _Toc151283288 \h </w:instrText>
            </w:r>
            <w:r w:rsidR="007A7482">
              <w:rPr>
                <w:noProof/>
                <w:webHidden/>
              </w:rPr>
            </w:r>
            <w:r w:rsidR="007A7482">
              <w:rPr>
                <w:noProof/>
                <w:webHidden/>
              </w:rPr>
              <w:fldChar w:fldCharType="separate"/>
            </w:r>
            <w:r w:rsidR="00806443">
              <w:rPr>
                <w:noProof/>
                <w:webHidden/>
              </w:rPr>
              <w:t>12</w:t>
            </w:r>
            <w:r w:rsidR="007A7482">
              <w:rPr>
                <w:noProof/>
                <w:webHidden/>
              </w:rPr>
              <w:fldChar w:fldCharType="end"/>
            </w:r>
          </w:hyperlink>
        </w:p>
        <w:p w14:paraId="3706E7BE" w14:textId="72F5B6F9" w:rsidR="007A7482" w:rsidRDefault="00B64038">
          <w:pPr>
            <w:pStyle w:val="TOC3"/>
            <w:rPr>
              <w:rFonts w:asciiTheme="minorHAnsi" w:eastAsiaTheme="minorEastAsia" w:hAnsiTheme="minorHAnsi" w:cstheme="minorBidi"/>
              <w:noProof/>
              <w:color w:val="auto"/>
              <w:kern w:val="2"/>
              <w14:ligatures w14:val="standardContextual"/>
            </w:rPr>
          </w:pPr>
          <w:hyperlink w:anchor="_Toc151283289" w:history="1">
            <w:r w:rsidR="007A7482" w:rsidRPr="001D3DCD">
              <w:rPr>
                <w:rStyle w:val="Hyperlink"/>
                <w:rFonts w:ascii="Arial" w:eastAsia="Arial" w:hAnsi="Arial" w:cs="Arial"/>
                <w:noProof/>
              </w:rPr>
              <w:t>22</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89 of the principal Act amended</w:t>
            </w:r>
            <w:r w:rsidR="007A7482">
              <w:rPr>
                <w:noProof/>
                <w:webHidden/>
              </w:rPr>
              <w:tab/>
            </w:r>
            <w:r w:rsidR="007A7482">
              <w:rPr>
                <w:noProof/>
                <w:webHidden/>
              </w:rPr>
              <w:fldChar w:fldCharType="begin"/>
            </w:r>
            <w:r w:rsidR="007A7482">
              <w:rPr>
                <w:noProof/>
                <w:webHidden/>
              </w:rPr>
              <w:instrText xml:space="preserve"> PAGEREF _Toc151283289 \h </w:instrText>
            </w:r>
            <w:r w:rsidR="007A7482">
              <w:rPr>
                <w:noProof/>
                <w:webHidden/>
              </w:rPr>
            </w:r>
            <w:r w:rsidR="007A7482">
              <w:rPr>
                <w:noProof/>
                <w:webHidden/>
              </w:rPr>
              <w:fldChar w:fldCharType="separate"/>
            </w:r>
            <w:r w:rsidR="00806443">
              <w:rPr>
                <w:noProof/>
                <w:webHidden/>
              </w:rPr>
              <w:t>12</w:t>
            </w:r>
            <w:r w:rsidR="007A7482">
              <w:rPr>
                <w:noProof/>
                <w:webHidden/>
              </w:rPr>
              <w:fldChar w:fldCharType="end"/>
            </w:r>
          </w:hyperlink>
        </w:p>
        <w:p w14:paraId="1EF54223" w14:textId="67A5A601" w:rsidR="007A7482" w:rsidRDefault="00B64038">
          <w:pPr>
            <w:pStyle w:val="TOC3"/>
            <w:rPr>
              <w:rFonts w:asciiTheme="minorHAnsi" w:eastAsiaTheme="minorEastAsia" w:hAnsiTheme="minorHAnsi" w:cstheme="minorBidi"/>
              <w:noProof/>
              <w:color w:val="auto"/>
              <w:kern w:val="2"/>
              <w14:ligatures w14:val="standardContextual"/>
            </w:rPr>
          </w:pPr>
          <w:hyperlink w:anchor="_Toc151283290" w:history="1">
            <w:r w:rsidR="007A7482" w:rsidRPr="001D3DCD">
              <w:rPr>
                <w:rStyle w:val="Hyperlink"/>
                <w:rFonts w:ascii="Arial" w:eastAsia="Arial" w:hAnsi="Arial" w:cs="Arial"/>
                <w:noProof/>
              </w:rPr>
              <w:t>23</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90 of the principal Act amended</w:t>
            </w:r>
            <w:r w:rsidR="007A7482">
              <w:rPr>
                <w:noProof/>
                <w:webHidden/>
              </w:rPr>
              <w:tab/>
            </w:r>
            <w:r w:rsidR="007A7482">
              <w:rPr>
                <w:noProof/>
                <w:webHidden/>
              </w:rPr>
              <w:fldChar w:fldCharType="begin"/>
            </w:r>
            <w:r w:rsidR="007A7482">
              <w:rPr>
                <w:noProof/>
                <w:webHidden/>
              </w:rPr>
              <w:instrText xml:space="preserve"> PAGEREF _Toc151283290 \h </w:instrText>
            </w:r>
            <w:r w:rsidR="007A7482">
              <w:rPr>
                <w:noProof/>
                <w:webHidden/>
              </w:rPr>
            </w:r>
            <w:r w:rsidR="007A7482">
              <w:rPr>
                <w:noProof/>
                <w:webHidden/>
              </w:rPr>
              <w:fldChar w:fldCharType="separate"/>
            </w:r>
            <w:r w:rsidR="00806443">
              <w:rPr>
                <w:noProof/>
                <w:webHidden/>
              </w:rPr>
              <w:t>12</w:t>
            </w:r>
            <w:r w:rsidR="007A7482">
              <w:rPr>
                <w:noProof/>
                <w:webHidden/>
              </w:rPr>
              <w:fldChar w:fldCharType="end"/>
            </w:r>
          </w:hyperlink>
        </w:p>
        <w:p w14:paraId="41F6F196" w14:textId="648785C2" w:rsidR="007A7482" w:rsidRDefault="00B64038">
          <w:pPr>
            <w:pStyle w:val="TOC3"/>
            <w:rPr>
              <w:rFonts w:asciiTheme="minorHAnsi" w:eastAsiaTheme="minorEastAsia" w:hAnsiTheme="minorHAnsi" w:cstheme="minorBidi"/>
              <w:noProof/>
              <w:color w:val="auto"/>
              <w:kern w:val="2"/>
              <w14:ligatures w14:val="standardContextual"/>
            </w:rPr>
          </w:pPr>
          <w:hyperlink w:anchor="_Toc151283291" w:history="1">
            <w:r w:rsidR="007A7482" w:rsidRPr="001D3DCD">
              <w:rPr>
                <w:rStyle w:val="Hyperlink"/>
                <w:rFonts w:ascii="Arial" w:eastAsia="Arial" w:hAnsi="Arial" w:cs="Arial"/>
                <w:noProof/>
              </w:rPr>
              <w:t>24</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91 of the principal Act amended</w:t>
            </w:r>
            <w:r w:rsidR="007A7482">
              <w:rPr>
                <w:noProof/>
                <w:webHidden/>
              </w:rPr>
              <w:tab/>
            </w:r>
            <w:r w:rsidR="007A7482">
              <w:rPr>
                <w:noProof/>
                <w:webHidden/>
              </w:rPr>
              <w:fldChar w:fldCharType="begin"/>
            </w:r>
            <w:r w:rsidR="007A7482">
              <w:rPr>
                <w:noProof/>
                <w:webHidden/>
              </w:rPr>
              <w:instrText xml:space="preserve"> PAGEREF _Toc151283291 \h </w:instrText>
            </w:r>
            <w:r w:rsidR="007A7482">
              <w:rPr>
                <w:noProof/>
                <w:webHidden/>
              </w:rPr>
            </w:r>
            <w:r w:rsidR="007A7482">
              <w:rPr>
                <w:noProof/>
                <w:webHidden/>
              </w:rPr>
              <w:fldChar w:fldCharType="separate"/>
            </w:r>
            <w:r w:rsidR="00806443">
              <w:rPr>
                <w:noProof/>
                <w:webHidden/>
              </w:rPr>
              <w:t>12</w:t>
            </w:r>
            <w:r w:rsidR="007A7482">
              <w:rPr>
                <w:noProof/>
                <w:webHidden/>
              </w:rPr>
              <w:fldChar w:fldCharType="end"/>
            </w:r>
          </w:hyperlink>
        </w:p>
        <w:p w14:paraId="399EDC29" w14:textId="6AFC66B0" w:rsidR="007A7482" w:rsidRDefault="00B64038">
          <w:pPr>
            <w:pStyle w:val="TOC3"/>
            <w:rPr>
              <w:rFonts w:asciiTheme="minorHAnsi" w:eastAsiaTheme="minorEastAsia" w:hAnsiTheme="minorHAnsi" w:cstheme="minorBidi"/>
              <w:noProof/>
              <w:color w:val="auto"/>
              <w:kern w:val="2"/>
              <w14:ligatures w14:val="standardContextual"/>
            </w:rPr>
          </w:pPr>
          <w:hyperlink w:anchor="_Toc151283292" w:history="1">
            <w:r w:rsidR="007A7482" w:rsidRPr="001D3DCD">
              <w:rPr>
                <w:rStyle w:val="Hyperlink"/>
                <w:rFonts w:ascii="Arial" w:eastAsia="Arial" w:hAnsi="Arial" w:cs="Arial"/>
                <w:noProof/>
              </w:rPr>
              <w:t>25</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92 of the principal Act amended</w:t>
            </w:r>
            <w:r w:rsidR="007A7482">
              <w:rPr>
                <w:noProof/>
                <w:webHidden/>
              </w:rPr>
              <w:tab/>
            </w:r>
            <w:r w:rsidR="007A7482">
              <w:rPr>
                <w:noProof/>
                <w:webHidden/>
              </w:rPr>
              <w:fldChar w:fldCharType="begin"/>
            </w:r>
            <w:r w:rsidR="007A7482">
              <w:rPr>
                <w:noProof/>
                <w:webHidden/>
              </w:rPr>
              <w:instrText xml:space="preserve"> PAGEREF _Toc151283292 \h </w:instrText>
            </w:r>
            <w:r w:rsidR="007A7482">
              <w:rPr>
                <w:noProof/>
                <w:webHidden/>
              </w:rPr>
            </w:r>
            <w:r w:rsidR="007A7482">
              <w:rPr>
                <w:noProof/>
                <w:webHidden/>
              </w:rPr>
              <w:fldChar w:fldCharType="separate"/>
            </w:r>
            <w:r w:rsidR="00806443">
              <w:rPr>
                <w:noProof/>
                <w:webHidden/>
              </w:rPr>
              <w:t>12</w:t>
            </w:r>
            <w:r w:rsidR="007A7482">
              <w:rPr>
                <w:noProof/>
                <w:webHidden/>
              </w:rPr>
              <w:fldChar w:fldCharType="end"/>
            </w:r>
          </w:hyperlink>
        </w:p>
        <w:p w14:paraId="1E70F47A" w14:textId="3F7C6B08" w:rsidR="007A7482" w:rsidRDefault="00B64038">
          <w:pPr>
            <w:pStyle w:val="TOC3"/>
            <w:rPr>
              <w:rFonts w:asciiTheme="minorHAnsi" w:eastAsiaTheme="minorEastAsia" w:hAnsiTheme="minorHAnsi" w:cstheme="minorBidi"/>
              <w:noProof/>
              <w:color w:val="auto"/>
              <w:kern w:val="2"/>
              <w14:ligatures w14:val="standardContextual"/>
            </w:rPr>
          </w:pPr>
          <w:hyperlink w:anchor="_Toc151283293" w:history="1">
            <w:r w:rsidR="007A7482" w:rsidRPr="001D3DCD">
              <w:rPr>
                <w:rStyle w:val="Hyperlink"/>
                <w:rFonts w:ascii="Arial" w:eastAsia="Arial" w:hAnsi="Arial" w:cs="Arial"/>
                <w:noProof/>
              </w:rPr>
              <w:t>26</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95 of the principal Act amended</w:t>
            </w:r>
            <w:r w:rsidR="007A7482">
              <w:rPr>
                <w:noProof/>
                <w:webHidden/>
              </w:rPr>
              <w:tab/>
            </w:r>
            <w:r w:rsidR="007A7482">
              <w:rPr>
                <w:noProof/>
                <w:webHidden/>
              </w:rPr>
              <w:fldChar w:fldCharType="begin"/>
            </w:r>
            <w:r w:rsidR="007A7482">
              <w:rPr>
                <w:noProof/>
                <w:webHidden/>
              </w:rPr>
              <w:instrText xml:space="preserve"> PAGEREF _Toc151283293 \h </w:instrText>
            </w:r>
            <w:r w:rsidR="007A7482">
              <w:rPr>
                <w:noProof/>
                <w:webHidden/>
              </w:rPr>
            </w:r>
            <w:r w:rsidR="007A7482">
              <w:rPr>
                <w:noProof/>
                <w:webHidden/>
              </w:rPr>
              <w:fldChar w:fldCharType="separate"/>
            </w:r>
            <w:r w:rsidR="00806443">
              <w:rPr>
                <w:noProof/>
                <w:webHidden/>
              </w:rPr>
              <w:t>13</w:t>
            </w:r>
            <w:r w:rsidR="007A7482">
              <w:rPr>
                <w:noProof/>
                <w:webHidden/>
              </w:rPr>
              <w:fldChar w:fldCharType="end"/>
            </w:r>
          </w:hyperlink>
        </w:p>
        <w:p w14:paraId="6E5FAF27" w14:textId="0FEE36B7" w:rsidR="007A7482" w:rsidRDefault="00B64038">
          <w:pPr>
            <w:pStyle w:val="TOC3"/>
            <w:rPr>
              <w:rFonts w:asciiTheme="minorHAnsi" w:eastAsiaTheme="minorEastAsia" w:hAnsiTheme="minorHAnsi" w:cstheme="minorBidi"/>
              <w:noProof/>
              <w:color w:val="auto"/>
              <w:kern w:val="2"/>
              <w14:ligatures w14:val="standardContextual"/>
            </w:rPr>
          </w:pPr>
          <w:hyperlink w:anchor="_Toc151283294" w:history="1">
            <w:r w:rsidR="007A7482" w:rsidRPr="001D3DCD">
              <w:rPr>
                <w:rStyle w:val="Hyperlink"/>
                <w:rFonts w:ascii="Arial" w:eastAsia="Arial" w:hAnsi="Arial" w:cs="Arial"/>
                <w:noProof/>
              </w:rPr>
              <w:t>27</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97A of the principal Act inserted</w:t>
            </w:r>
            <w:r w:rsidR="007A7482">
              <w:rPr>
                <w:noProof/>
                <w:webHidden/>
              </w:rPr>
              <w:tab/>
            </w:r>
            <w:r w:rsidR="007A7482">
              <w:rPr>
                <w:noProof/>
                <w:webHidden/>
              </w:rPr>
              <w:fldChar w:fldCharType="begin"/>
            </w:r>
            <w:r w:rsidR="007A7482">
              <w:rPr>
                <w:noProof/>
                <w:webHidden/>
              </w:rPr>
              <w:instrText xml:space="preserve"> PAGEREF _Toc151283294 \h </w:instrText>
            </w:r>
            <w:r w:rsidR="007A7482">
              <w:rPr>
                <w:noProof/>
                <w:webHidden/>
              </w:rPr>
            </w:r>
            <w:r w:rsidR="007A7482">
              <w:rPr>
                <w:noProof/>
                <w:webHidden/>
              </w:rPr>
              <w:fldChar w:fldCharType="separate"/>
            </w:r>
            <w:r w:rsidR="00806443">
              <w:rPr>
                <w:noProof/>
                <w:webHidden/>
              </w:rPr>
              <w:t>13</w:t>
            </w:r>
            <w:r w:rsidR="007A7482">
              <w:rPr>
                <w:noProof/>
                <w:webHidden/>
              </w:rPr>
              <w:fldChar w:fldCharType="end"/>
            </w:r>
          </w:hyperlink>
        </w:p>
        <w:p w14:paraId="67CF6C44" w14:textId="16E37613" w:rsidR="007A7482" w:rsidRDefault="00B64038">
          <w:pPr>
            <w:pStyle w:val="TOC3"/>
            <w:rPr>
              <w:rFonts w:asciiTheme="minorHAnsi" w:eastAsiaTheme="minorEastAsia" w:hAnsiTheme="minorHAnsi" w:cstheme="minorBidi"/>
              <w:noProof/>
              <w:color w:val="auto"/>
              <w:kern w:val="2"/>
              <w14:ligatures w14:val="standardContextual"/>
            </w:rPr>
          </w:pPr>
          <w:hyperlink w:anchor="_Toc151283295" w:history="1">
            <w:r w:rsidR="007A7482" w:rsidRPr="001D3DCD">
              <w:rPr>
                <w:rStyle w:val="Hyperlink"/>
                <w:rFonts w:ascii="Arial" w:eastAsia="Arial" w:hAnsi="Arial" w:cs="Arial"/>
                <w:noProof/>
              </w:rPr>
              <w:t>28</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98 of the principal Act inserted</w:t>
            </w:r>
            <w:r w:rsidR="007A7482">
              <w:rPr>
                <w:noProof/>
                <w:webHidden/>
              </w:rPr>
              <w:tab/>
            </w:r>
            <w:r w:rsidR="007A7482">
              <w:rPr>
                <w:noProof/>
                <w:webHidden/>
              </w:rPr>
              <w:fldChar w:fldCharType="begin"/>
            </w:r>
            <w:r w:rsidR="007A7482">
              <w:rPr>
                <w:noProof/>
                <w:webHidden/>
              </w:rPr>
              <w:instrText xml:space="preserve"> PAGEREF _Toc151283295 \h </w:instrText>
            </w:r>
            <w:r w:rsidR="007A7482">
              <w:rPr>
                <w:noProof/>
                <w:webHidden/>
              </w:rPr>
            </w:r>
            <w:r w:rsidR="007A7482">
              <w:rPr>
                <w:noProof/>
                <w:webHidden/>
              </w:rPr>
              <w:fldChar w:fldCharType="separate"/>
            </w:r>
            <w:r w:rsidR="00806443">
              <w:rPr>
                <w:noProof/>
                <w:webHidden/>
              </w:rPr>
              <w:t>13</w:t>
            </w:r>
            <w:r w:rsidR="007A7482">
              <w:rPr>
                <w:noProof/>
                <w:webHidden/>
              </w:rPr>
              <w:fldChar w:fldCharType="end"/>
            </w:r>
          </w:hyperlink>
        </w:p>
        <w:p w14:paraId="1B796BB6" w14:textId="32EDB27E" w:rsidR="007A7482" w:rsidRDefault="00B64038">
          <w:pPr>
            <w:pStyle w:val="TOC3"/>
            <w:rPr>
              <w:rFonts w:asciiTheme="minorHAnsi" w:eastAsiaTheme="minorEastAsia" w:hAnsiTheme="minorHAnsi" w:cstheme="minorBidi"/>
              <w:noProof/>
              <w:color w:val="auto"/>
              <w:kern w:val="2"/>
              <w14:ligatures w14:val="standardContextual"/>
            </w:rPr>
          </w:pPr>
          <w:hyperlink w:anchor="_Toc151283296" w:history="1">
            <w:r w:rsidR="007A7482" w:rsidRPr="001D3DCD">
              <w:rPr>
                <w:rStyle w:val="Hyperlink"/>
                <w:rFonts w:ascii="Arial" w:eastAsia="Arial" w:hAnsi="Arial" w:cs="Arial"/>
                <w:noProof/>
              </w:rPr>
              <w:t>29</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100 of the principal Act amended</w:t>
            </w:r>
            <w:r w:rsidR="007A7482">
              <w:rPr>
                <w:noProof/>
                <w:webHidden/>
              </w:rPr>
              <w:tab/>
            </w:r>
            <w:r w:rsidR="007A7482">
              <w:rPr>
                <w:noProof/>
                <w:webHidden/>
              </w:rPr>
              <w:fldChar w:fldCharType="begin"/>
            </w:r>
            <w:r w:rsidR="007A7482">
              <w:rPr>
                <w:noProof/>
                <w:webHidden/>
              </w:rPr>
              <w:instrText xml:space="preserve"> PAGEREF _Toc151283296 \h </w:instrText>
            </w:r>
            <w:r w:rsidR="007A7482">
              <w:rPr>
                <w:noProof/>
                <w:webHidden/>
              </w:rPr>
            </w:r>
            <w:r w:rsidR="007A7482">
              <w:rPr>
                <w:noProof/>
                <w:webHidden/>
              </w:rPr>
              <w:fldChar w:fldCharType="separate"/>
            </w:r>
            <w:r w:rsidR="00806443">
              <w:rPr>
                <w:noProof/>
                <w:webHidden/>
              </w:rPr>
              <w:t>13</w:t>
            </w:r>
            <w:r w:rsidR="007A7482">
              <w:rPr>
                <w:noProof/>
                <w:webHidden/>
              </w:rPr>
              <w:fldChar w:fldCharType="end"/>
            </w:r>
          </w:hyperlink>
        </w:p>
        <w:p w14:paraId="1C25D406" w14:textId="710DDA00" w:rsidR="007A7482" w:rsidRDefault="00B64038">
          <w:pPr>
            <w:pStyle w:val="TOC3"/>
            <w:rPr>
              <w:rFonts w:asciiTheme="minorHAnsi" w:eastAsiaTheme="minorEastAsia" w:hAnsiTheme="minorHAnsi" w:cstheme="minorBidi"/>
              <w:noProof/>
              <w:color w:val="auto"/>
              <w:kern w:val="2"/>
              <w14:ligatures w14:val="standardContextual"/>
            </w:rPr>
          </w:pPr>
          <w:hyperlink w:anchor="_Toc151283297" w:history="1">
            <w:r w:rsidR="007A7482" w:rsidRPr="001D3DCD">
              <w:rPr>
                <w:rStyle w:val="Hyperlink"/>
                <w:rFonts w:ascii="Arial" w:eastAsia="Arial" w:hAnsi="Arial" w:cs="Arial"/>
                <w:noProof/>
              </w:rPr>
              <w:t>30</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105 of the principal Act amended</w:t>
            </w:r>
            <w:r w:rsidR="007A7482">
              <w:rPr>
                <w:noProof/>
                <w:webHidden/>
              </w:rPr>
              <w:tab/>
            </w:r>
            <w:r w:rsidR="007A7482">
              <w:rPr>
                <w:noProof/>
                <w:webHidden/>
              </w:rPr>
              <w:fldChar w:fldCharType="begin"/>
            </w:r>
            <w:r w:rsidR="007A7482">
              <w:rPr>
                <w:noProof/>
                <w:webHidden/>
              </w:rPr>
              <w:instrText xml:space="preserve"> PAGEREF _Toc151283297 \h </w:instrText>
            </w:r>
            <w:r w:rsidR="007A7482">
              <w:rPr>
                <w:noProof/>
                <w:webHidden/>
              </w:rPr>
            </w:r>
            <w:r w:rsidR="007A7482">
              <w:rPr>
                <w:noProof/>
                <w:webHidden/>
              </w:rPr>
              <w:fldChar w:fldCharType="separate"/>
            </w:r>
            <w:r w:rsidR="00806443">
              <w:rPr>
                <w:noProof/>
                <w:webHidden/>
              </w:rPr>
              <w:t>13</w:t>
            </w:r>
            <w:r w:rsidR="007A7482">
              <w:rPr>
                <w:noProof/>
                <w:webHidden/>
              </w:rPr>
              <w:fldChar w:fldCharType="end"/>
            </w:r>
          </w:hyperlink>
        </w:p>
        <w:p w14:paraId="7243B8C7" w14:textId="7DE26630" w:rsidR="007A7482" w:rsidRDefault="00B64038">
          <w:pPr>
            <w:pStyle w:val="TOC3"/>
            <w:rPr>
              <w:rFonts w:asciiTheme="minorHAnsi" w:eastAsiaTheme="minorEastAsia" w:hAnsiTheme="minorHAnsi" w:cstheme="minorBidi"/>
              <w:noProof/>
              <w:color w:val="auto"/>
              <w:kern w:val="2"/>
              <w14:ligatures w14:val="standardContextual"/>
            </w:rPr>
          </w:pPr>
          <w:hyperlink w:anchor="_Toc151283298" w:history="1">
            <w:r w:rsidR="007A7482" w:rsidRPr="001D3DCD">
              <w:rPr>
                <w:rStyle w:val="Hyperlink"/>
                <w:rFonts w:ascii="Arial" w:eastAsia="Arial" w:hAnsi="Arial" w:cs="Arial"/>
                <w:noProof/>
              </w:rPr>
              <w:t>31</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106A of the principal Act inserted</w:t>
            </w:r>
            <w:r w:rsidR="007A7482">
              <w:rPr>
                <w:noProof/>
                <w:webHidden/>
              </w:rPr>
              <w:tab/>
            </w:r>
            <w:r w:rsidR="007A7482">
              <w:rPr>
                <w:noProof/>
                <w:webHidden/>
              </w:rPr>
              <w:fldChar w:fldCharType="begin"/>
            </w:r>
            <w:r w:rsidR="007A7482">
              <w:rPr>
                <w:noProof/>
                <w:webHidden/>
              </w:rPr>
              <w:instrText xml:space="preserve"> PAGEREF _Toc151283298 \h </w:instrText>
            </w:r>
            <w:r w:rsidR="007A7482">
              <w:rPr>
                <w:noProof/>
                <w:webHidden/>
              </w:rPr>
            </w:r>
            <w:r w:rsidR="007A7482">
              <w:rPr>
                <w:noProof/>
                <w:webHidden/>
              </w:rPr>
              <w:fldChar w:fldCharType="separate"/>
            </w:r>
            <w:r w:rsidR="00806443">
              <w:rPr>
                <w:noProof/>
                <w:webHidden/>
              </w:rPr>
              <w:t>13</w:t>
            </w:r>
            <w:r w:rsidR="007A7482">
              <w:rPr>
                <w:noProof/>
                <w:webHidden/>
              </w:rPr>
              <w:fldChar w:fldCharType="end"/>
            </w:r>
          </w:hyperlink>
        </w:p>
        <w:p w14:paraId="2B1498E4" w14:textId="0901CF2F" w:rsidR="007A7482" w:rsidRDefault="00B64038">
          <w:pPr>
            <w:pStyle w:val="TOC3"/>
            <w:rPr>
              <w:rFonts w:asciiTheme="minorHAnsi" w:eastAsiaTheme="minorEastAsia" w:hAnsiTheme="minorHAnsi" w:cstheme="minorBidi"/>
              <w:noProof/>
              <w:color w:val="auto"/>
              <w:kern w:val="2"/>
              <w14:ligatures w14:val="standardContextual"/>
            </w:rPr>
          </w:pPr>
          <w:hyperlink w:anchor="_Toc151283299" w:history="1">
            <w:r w:rsidR="007A7482" w:rsidRPr="001D3DCD">
              <w:rPr>
                <w:rStyle w:val="Hyperlink"/>
                <w:rFonts w:ascii="Arial" w:eastAsia="Calibri" w:hAnsi="Arial" w:cs="Arial"/>
                <w:noProof/>
              </w:rPr>
              <w:t>32</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111 of the principal Act amended</w:t>
            </w:r>
            <w:r w:rsidR="007A7482">
              <w:rPr>
                <w:noProof/>
                <w:webHidden/>
              </w:rPr>
              <w:tab/>
            </w:r>
            <w:r w:rsidR="007A7482">
              <w:rPr>
                <w:noProof/>
                <w:webHidden/>
              </w:rPr>
              <w:fldChar w:fldCharType="begin"/>
            </w:r>
            <w:r w:rsidR="007A7482">
              <w:rPr>
                <w:noProof/>
                <w:webHidden/>
              </w:rPr>
              <w:instrText xml:space="preserve"> PAGEREF _Toc151283299 \h </w:instrText>
            </w:r>
            <w:r w:rsidR="007A7482">
              <w:rPr>
                <w:noProof/>
                <w:webHidden/>
              </w:rPr>
            </w:r>
            <w:r w:rsidR="007A7482">
              <w:rPr>
                <w:noProof/>
                <w:webHidden/>
              </w:rPr>
              <w:fldChar w:fldCharType="separate"/>
            </w:r>
            <w:r w:rsidR="00806443">
              <w:rPr>
                <w:noProof/>
                <w:webHidden/>
              </w:rPr>
              <w:t>14</w:t>
            </w:r>
            <w:r w:rsidR="007A7482">
              <w:rPr>
                <w:noProof/>
                <w:webHidden/>
              </w:rPr>
              <w:fldChar w:fldCharType="end"/>
            </w:r>
          </w:hyperlink>
        </w:p>
        <w:p w14:paraId="503A1A33" w14:textId="3B1664FF" w:rsidR="007A7482" w:rsidRDefault="00B64038">
          <w:pPr>
            <w:pStyle w:val="TOC3"/>
            <w:rPr>
              <w:rFonts w:asciiTheme="minorHAnsi" w:eastAsiaTheme="minorEastAsia" w:hAnsiTheme="minorHAnsi" w:cstheme="minorBidi"/>
              <w:noProof/>
              <w:color w:val="auto"/>
              <w:kern w:val="2"/>
              <w14:ligatures w14:val="standardContextual"/>
            </w:rPr>
          </w:pPr>
          <w:hyperlink w:anchor="_Toc151283300" w:history="1">
            <w:r w:rsidR="007A7482" w:rsidRPr="001D3DCD">
              <w:rPr>
                <w:rStyle w:val="Hyperlink"/>
                <w:rFonts w:ascii="Arial" w:eastAsia="Calibri" w:hAnsi="Arial" w:cs="Arial"/>
                <w:noProof/>
              </w:rPr>
              <w:t>33</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Calibri" w:hAnsi="Arial" w:cs="Arial"/>
                <w:noProof/>
              </w:rPr>
              <w:t>Section 113 of the principal Act amended</w:t>
            </w:r>
            <w:r w:rsidR="007A7482">
              <w:rPr>
                <w:noProof/>
                <w:webHidden/>
              </w:rPr>
              <w:tab/>
            </w:r>
            <w:r w:rsidR="007A7482">
              <w:rPr>
                <w:noProof/>
                <w:webHidden/>
              </w:rPr>
              <w:fldChar w:fldCharType="begin"/>
            </w:r>
            <w:r w:rsidR="007A7482">
              <w:rPr>
                <w:noProof/>
                <w:webHidden/>
              </w:rPr>
              <w:instrText xml:space="preserve"> PAGEREF _Toc151283300 \h </w:instrText>
            </w:r>
            <w:r w:rsidR="007A7482">
              <w:rPr>
                <w:noProof/>
                <w:webHidden/>
              </w:rPr>
            </w:r>
            <w:r w:rsidR="007A7482">
              <w:rPr>
                <w:noProof/>
                <w:webHidden/>
              </w:rPr>
              <w:fldChar w:fldCharType="separate"/>
            </w:r>
            <w:r w:rsidR="00806443">
              <w:rPr>
                <w:noProof/>
                <w:webHidden/>
              </w:rPr>
              <w:t>14</w:t>
            </w:r>
            <w:r w:rsidR="007A7482">
              <w:rPr>
                <w:noProof/>
                <w:webHidden/>
              </w:rPr>
              <w:fldChar w:fldCharType="end"/>
            </w:r>
          </w:hyperlink>
        </w:p>
        <w:p w14:paraId="600BF948" w14:textId="17694588" w:rsidR="007A7482" w:rsidRDefault="00B64038">
          <w:pPr>
            <w:pStyle w:val="TOC3"/>
            <w:rPr>
              <w:rFonts w:asciiTheme="minorHAnsi" w:eastAsiaTheme="minorEastAsia" w:hAnsiTheme="minorHAnsi" w:cstheme="minorBidi"/>
              <w:noProof/>
              <w:color w:val="auto"/>
              <w:kern w:val="2"/>
              <w14:ligatures w14:val="standardContextual"/>
            </w:rPr>
          </w:pPr>
          <w:hyperlink w:anchor="_Toc151283301" w:history="1">
            <w:r w:rsidR="007A7482" w:rsidRPr="001D3DCD">
              <w:rPr>
                <w:rStyle w:val="Hyperlink"/>
                <w:rFonts w:ascii="Arial" w:eastAsia="Calibri" w:hAnsi="Arial" w:cs="Arial"/>
                <w:noProof/>
              </w:rPr>
              <w:t>34</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Calibri" w:hAnsi="Arial" w:cs="Arial"/>
                <w:noProof/>
              </w:rPr>
              <w:t>Section 114 of the principal Act amended</w:t>
            </w:r>
            <w:r w:rsidR="007A7482">
              <w:rPr>
                <w:noProof/>
                <w:webHidden/>
              </w:rPr>
              <w:tab/>
            </w:r>
            <w:r w:rsidR="007A7482">
              <w:rPr>
                <w:noProof/>
                <w:webHidden/>
              </w:rPr>
              <w:fldChar w:fldCharType="begin"/>
            </w:r>
            <w:r w:rsidR="007A7482">
              <w:rPr>
                <w:noProof/>
                <w:webHidden/>
              </w:rPr>
              <w:instrText xml:space="preserve"> PAGEREF _Toc151283301 \h </w:instrText>
            </w:r>
            <w:r w:rsidR="007A7482">
              <w:rPr>
                <w:noProof/>
                <w:webHidden/>
              </w:rPr>
            </w:r>
            <w:r w:rsidR="007A7482">
              <w:rPr>
                <w:noProof/>
                <w:webHidden/>
              </w:rPr>
              <w:fldChar w:fldCharType="separate"/>
            </w:r>
            <w:r w:rsidR="00806443">
              <w:rPr>
                <w:noProof/>
                <w:webHidden/>
              </w:rPr>
              <w:t>14</w:t>
            </w:r>
            <w:r w:rsidR="007A7482">
              <w:rPr>
                <w:noProof/>
                <w:webHidden/>
              </w:rPr>
              <w:fldChar w:fldCharType="end"/>
            </w:r>
          </w:hyperlink>
        </w:p>
        <w:p w14:paraId="4667286E" w14:textId="76DC7D14" w:rsidR="007A7482" w:rsidRDefault="00B64038">
          <w:pPr>
            <w:pStyle w:val="TOC3"/>
            <w:rPr>
              <w:rFonts w:asciiTheme="minorHAnsi" w:eastAsiaTheme="minorEastAsia" w:hAnsiTheme="minorHAnsi" w:cstheme="minorBidi"/>
              <w:noProof/>
              <w:color w:val="auto"/>
              <w:kern w:val="2"/>
              <w14:ligatures w14:val="standardContextual"/>
            </w:rPr>
          </w:pPr>
          <w:hyperlink w:anchor="_Toc151283302" w:history="1">
            <w:r w:rsidR="007A7482" w:rsidRPr="001D3DCD">
              <w:rPr>
                <w:rStyle w:val="Hyperlink"/>
                <w:rFonts w:ascii="Arial" w:eastAsia="Calibri" w:hAnsi="Arial" w:cs="Arial"/>
                <w:noProof/>
              </w:rPr>
              <w:t>35</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Calibri" w:hAnsi="Arial" w:cs="Arial"/>
                <w:noProof/>
              </w:rPr>
              <w:t>Section 115 of the principal Act amended</w:t>
            </w:r>
            <w:r w:rsidR="007A7482">
              <w:rPr>
                <w:noProof/>
                <w:webHidden/>
              </w:rPr>
              <w:tab/>
            </w:r>
            <w:r w:rsidR="007A7482">
              <w:rPr>
                <w:noProof/>
                <w:webHidden/>
              </w:rPr>
              <w:fldChar w:fldCharType="begin"/>
            </w:r>
            <w:r w:rsidR="007A7482">
              <w:rPr>
                <w:noProof/>
                <w:webHidden/>
              </w:rPr>
              <w:instrText xml:space="preserve"> PAGEREF _Toc151283302 \h </w:instrText>
            </w:r>
            <w:r w:rsidR="007A7482">
              <w:rPr>
                <w:noProof/>
                <w:webHidden/>
              </w:rPr>
            </w:r>
            <w:r w:rsidR="007A7482">
              <w:rPr>
                <w:noProof/>
                <w:webHidden/>
              </w:rPr>
              <w:fldChar w:fldCharType="separate"/>
            </w:r>
            <w:r w:rsidR="00806443">
              <w:rPr>
                <w:noProof/>
                <w:webHidden/>
              </w:rPr>
              <w:t>14</w:t>
            </w:r>
            <w:r w:rsidR="007A7482">
              <w:rPr>
                <w:noProof/>
                <w:webHidden/>
              </w:rPr>
              <w:fldChar w:fldCharType="end"/>
            </w:r>
          </w:hyperlink>
        </w:p>
        <w:p w14:paraId="7E86E5AA" w14:textId="2A64010E" w:rsidR="007A7482" w:rsidRDefault="00B64038">
          <w:pPr>
            <w:pStyle w:val="TOC3"/>
            <w:rPr>
              <w:rFonts w:asciiTheme="minorHAnsi" w:eastAsiaTheme="minorEastAsia" w:hAnsiTheme="minorHAnsi" w:cstheme="minorBidi"/>
              <w:noProof/>
              <w:color w:val="auto"/>
              <w:kern w:val="2"/>
              <w14:ligatures w14:val="standardContextual"/>
            </w:rPr>
          </w:pPr>
          <w:hyperlink w:anchor="_Toc151283303" w:history="1">
            <w:r w:rsidR="007A7482" w:rsidRPr="001D3DCD">
              <w:rPr>
                <w:rStyle w:val="Hyperlink"/>
                <w:rFonts w:ascii="Arial" w:eastAsia="Calibri" w:hAnsi="Arial" w:cs="Arial"/>
                <w:noProof/>
              </w:rPr>
              <w:t>36</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Calibri" w:hAnsi="Arial" w:cs="Arial"/>
                <w:noProof/>
              </w:rPr>
              <w:t>Section 116 of the principal Act amended</w:t>
            </w:r>
            <w:r w:rsidR="007A7482">
              <w:rPr>
                <w:noProof/>
                <w:webHidden/>
              </w:rPr>
              <w:tab/>
            </w:r>
            <w:r w:rsidR="007A7482">
              <w:rPr>
                <w:noProof/>
                <w:webHidden/>
              </w:rPr>
              <w:fldChar w:fldCharType="begin"/>
            </w:r>
            <w:r w:rsidR="007A7482">
              <w:rPr>
                <w:noProof/>
                <w:webHidden/>
              </w:rPr>
              <w:instrText xml:space="preserve"> PAGEREF _Toc151283303 \h </w:instrText>
            </w:r>
            <w:r w:rsidR="007A7482">
              <w:rPr>
                <w:noProof/>
                <w:webHidden/>
              </w:rPr>
            </w:r>
            <w:r w:rsidR="007A7482">
              <w:rPr>
                <w:noProof/>
                <w:webHidden/>
              </w:rPr>
              <w:fldChar w:fldCharType="separate"/>
            </w:r>
            <w:r w:rsidR="00806443">
              <w:rPr>
                <w:noProof/>
                <w:webHidden/>
              </w:rPr>
              <w:t>14</w:t>
            </w:r>
            <w:r w:rsidR="007A7482">
              <w:rPr>
                <w:noProof/>
                <w:webHidden/>
              </w:rPr>
              <w:fldChar w:fldCharType="end"/>
            </w:r>
          </w:hyperlink>
        </w:p>
        <w:p w14:paraId="1825A591" w14:textId="00CC8B4E" w:rsidR="007A7482" w:rsidRDefault="00B64038">
          <w:pPr>
            <w:pStyle w:val="TOC3"/>
            <w:rPr>
              <w:rFonts w:asciiTheme="minorHAnsi" w:eastAsiaTheme="minorEastAsia" w:hAnsiTheme="minorHAnsi" w:cstheme="minorBidi"/>
              <w:noProof/>
              <w:color w:val="auto"/>
              <w:kern w:val="2"/>
              <w14:ligatures w14:val="standardContextual"/>
            </w:rPr>
          </w:pPr>
          <w:hyperlink w:anchor="_Toc151283304" w:history="1">
            <w:r w:rsidR="007A7482" w:rsidRPr="001D3DCD">
              <w:rPr>
                <w:rStyle w:val="Hyperlink"/>
                <w:rFonts w:ascii="Arial" w:eastAsia="Calibri" w:hAnsi="Arial" w:cs="Arial"/>
                <w:noProof/>
              </w:rPr>
              <w:t>37</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124 of the principal Act repealed and replaced</w:t>
            </w:r>
            <w:r w:rsidR="007A7482">
              <w:rPr>
                <w:noProof/>
                <w:webHidden/>
              </w:rPr>
              <w:tab/>
            </w:r>
            <w:r w:rsidR="007A7482">
              <w:rPr>
                <w:noProof/>
                <w:webHidden/>
              </w:rPr>
              <w:fldChar w:fldCharType="begin"/>
            </w:r>
            <w:r w:rsidR="007A7482">
              <w:rPr>
                <w:noProof/>
                <w:webHidden/>
              </w:rPr>
              <w:instrText xml:space="preserve"> PAGEREF _Toc151283304 \h </w:instrText>
            </w:r>
            <w:r w:rsidR="007A7482">
              <w:rPr>
                <w:noProof/>
                <w:webHidden/>
              </w:rPr>
            </w:r>
            <w:r w:rsidR="007A7482">
              <w:rPr>
                <w:noProof/>
                <w:webHidden/>
              </w:rPr>
              <w:fldChar w:fldCharType="separate"/>
            </w:r>
            <w:r w:rsidR="00806443">
              <w:rPr>
                <w:noProof/>
                <w:webHidden/>
              </w:rPr>
              <w:t>14</w:t>
            </w:r>
            <w:r w:rsidR="007A7482">
              <w:rPr>
                <w:noProof/>
                <w:webHidden/>
              </w:rPr>
              <w:fldChar w:fldCharType="end"/>
            </w:r>
          </w:hyperlink>
        </w:p>
        <w:p w14:paraId="774D7A6C" w14:textId="680C4D17" w:rsidR="007A7482" w:rsidRDefault="00B64038">
          <w:pPr>
            <w:pStyle w:val="TOC3"/>
            <w:rPr>
              <w:rFonts w:asciiTheme="minorHAnsi" w:eastAsiaTheme="minorEastAsia" w:hAnsiTheme="minorHAnsi" w:cstheme="minorBidi"/>
              <w:noProof/>
              <w:color w:val="auto"/>
              <w:kern w:val="2"/>
              <w14:ligatures w14:val="standardContextual"/>
            </w:rPr>
          </w:pPr>
          <w:hyperlink w:anchor="_Toc151283305" w:history="1">
            <w:r w:rsidR="007A7482" w:rsidRPr="001D3DCD">
              <w:rPr>
                <w:rStyle w:val="Hyperlink"/>
                <w:rFonts w:ascii="Arial" w:eastAsia="Calibri" w:hAnsi="Arial" w:cs="Arial"/>
                <w:noProof/>
              </w:rPr>
              <w:t>38</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153A and 153B of the principal Act inserted</w:t>
            </w:r>
            <w:r w:rsidR="007A7482">
              <w:rPr>
                <w:noProof/>
                <w:webHidden/>
              </w:rPr>
              <w:tab/>
            </w:r>
            <w:r w:rsidR="007A7482">
              <w:rPr>
                <w:noProof/>
                <w:webHidden/>
              </w:rPr>
              <w:fldChar w:fldCharType="begin"/>
            </w:r>
            <w:r w:rsidR="007A7482">
              <w:rPr>
                <w:noProof/>
                <w:webHidden/>
              </w:rPr>
              <w:instrText xml:space="preserve"> PAGEREF _Toc151283305 \h </w:instrText>
            </w:r>
            <w:r w:rsidR="007A7482">
              <w:rPr>
                <w:noProof/>
                <w:webHidden/>
              </w:rPr>
            </w:r>
            <w:r w:rsidR="007A7482">
              <w:rPr>
                <w:noProof/>
                <w:webHidden/>
              </w:rPr>
              <w:fldChar w:fldCharType="separate"/>
            </w:r>
            <w:r w:rsidR="00806443">
              <w:rPr>
                <w:noProof/>
                <w:webHidden/>
              </w:rPr>
              <w:t>16</w:t>
            </w:r>
            <w:r w:rsidR="007A7482">
              <w:rPr>
                <w:noProof/>
                <w:webHidden/>
              </w:rPr>
              <w:fldChar w:fldCharType="end"/>
            </w:r>
          </w:hyperlink>
        </w:p>
        <w:p w14:paraId="725E7DC3" w14:textId="1753039C" w:rsidR="007A7482" w:rsidRDefault="00B64038">
          <w:pPr>
            <w:pStyle w:val="TOC3"/>
            <w:rPr>
              <w:rFonts w:asciiTheme="minorHAnsi" w:eastAsiaTheme="minorEastAsia" w:hAnsiTheme="minorHAnsi" w:cstheme="minorBidi"/>
              <w:noProof/>
              <w:color w:val="auto"/>
              <w:kern w:val="2"/>
              <w14:ligatures w14:val="standardContextual"/>
            </w:rPr>
          </w:pPr>
          <w:hyperlink w:anchor="_Toc151283306" w:history="1">
            <w:r w:rsidR="007A7482" w:rsidRPr="001D3DCD">
              <w:rPr>
                <w:rStyle w:val="Hyperlink"/>
                <w:rFonts w:ascii="Arial" w:eastAsia="Calibri" w:hAnsi="Arial" w:cs="Arial"/>
                <w:noProof/>
              </w:rPr>
              <w:t>39</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154 of the principal Act amended</w:t>
            </w:r>
            <w:r w:rsidR="007A7482">
              <w:rPr>
                <w:noProof/>
                <w:webHidden/>
              </w:rPr>
              <w:tab/>
            </w:r>
            <w:r w:rsidR="007A7482">
              <w:rPr>
                <w:noProof/>
                <w:webHidden/>
              </w:rPr>
              <w:fldChar w:fldCharType="begin"/>
            </w:r>
            <w:r w:rsidR="007A7482">
              <w:rPr>
                <w:noProof/>
                <w:webHidden/>
              </w:rPr>
              <w:instrText xml:space="preserve"> PAGEREF _Toc151283306 \h </w:instrText>
            </w:r>
            <w:r w:rsidR="007A7482">
              <w:rPr>
                <w:noProof/>
                <w:webHidden/>
              </w:rPr>
            </w:r>
            <w:r w:rsidR="007A7482">
              <w:rPr>
                <w:noProof/>
                <w:webHidden/>
              </w:rPr>
              <w:fldChar w:fldCharType="separate"/>
            </w:r>
            <w:r w:rsidR="00806443">
              <w:rPr>
                <w:noProof/>
                <w:webHidden/>
              </w:rPr>
              <w:t>17</w:t>
            </w:r>
            <w:r w:rsidR="007A7482">
              <w:rPr>
                <w:noProof/>
                <w:webHidden/>
              </w:rPr>
              <w:fldChar w:fldCharType="end"/>
            </w:r>
          </w:hyperlink>
        </w:p>
        <w:p w14:paraId="2E0B9DD9" w14:textId="2CA07367" w:rsidR="007A7482" w:rsidRDefault="00B64038">
          <w:pPr>
            <w:pStyle w:val="TOC3"/>
            <w:rPr>
              <w:rFonts w:asciiTheme="minorHAnsi" w:eastAsiaTheme="minorEastAsia" w:hAnsiTheme="minorHAnsi" w:cstheme="minorBidi"/>
              <w:noProof/>
              <w:color w:val="auto"/>
              <w:kern w:val="2"/>
              <w14:ligatures w14:val="standardContextual"/>
            </w:rPr>
          </w:pPr>
          <w:hyperlink w:anchor="_Toc151283307" w:history="1">
            <w:r w:rsidR="007A7482" w:rsidRPr="001D3DCD">
              <w:rPr>
                <w:rStyle w:val="Hyperlink"/>
                <w:rFonts w:ascii="Arial" w:eastAsia="Calibri" w:hAnsi="Arial" w:cs="Arial"/>
                <w:noProof/>
              </w:rPr>
              <w:t>40</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Section 155 of the principal Act amended</w:t>
            </w:r>
            <w:r w:rsidR="007A7482">
              <w:rPr>
                <w:noProof/>
                <w:webHidden/>
              </w:rPr>
              <w:tab/>
            </w:r>
            <w:r w:rsidR="007A7482">
              <w:rPr>
                <w:noProof/>
                <w:webHidden/>
              </w:rPr>
              <w:fldChar w:fldCharType="begin"/>
            </w:r>
            <w:r w:rsidR="007A7482">
              <w:rPr>
                <w:noProof/>
                <w:webHidden/>
              </w:rPr>
              <w:instrText xml:space="preserve"> PAGEREF _Toc151283307 \h </w:instrText>
            </w:r>
            <w:r w:rsidR="007A7482">
              <w:rPr>
                <w:noProof/>
                <w:webHidden/>
              </w:rPr>
            </w:r>
            <w:r w:rsidR="007A7482">
              <w:rPr>
                <w:noProof/>
                <w:webHidden/>
              </w:rPr>
              <w:fldChar w:fldCharType="separate"/>
            </w:r>
            <w:r w:rsidR="00806443">
              <w:rPr>
                <w:noProof/>
                <w:webHidden/>
              </w:rPr>
              <w:t>17</w:t>
            </w:r>
            <w:r w:rsidR="007A7482">
              <w:rPr>
                <w:noProof/>
                <w:webHidden/>
              </w:rPr>
              <w:fldChar w:fldCharType="end"/>
            </w:r>
          </w:hyperlink>
        </w:p>
        <w:p w14:paraId="0EB358FD" w14:textId="726DCD26" w:rsidR="007A7482" w:rsidRDefault="00B64038">
          <w:pPr>
            <w:pStyle w:val="TOC3"/>
            <w:rPr>
              <w:rFonts w:asciiTheme="minorHAnsi" w:eastAsiaTheme="minorEastAsia" w:hAnsiTheme="minorHAnsi" w:cstheme="minorBidi"/>
              <w:noProof/>
              <w:color w:val="auto"/>
              <w:kern w:val="2"/>
              <w14:ligatures w14:val="standardContextual"/>
            </w:rPr>
          </w:pPr>
          <w:hyperlink w:anchor="_Toc151283308" w:history="1">
            <w:r w:rsidR="007A7482" w:rsidRPr="001D3DCD">
              <w:rPr>
                <w:rStyle w:val="Hyperlink"/>
                <w:rFonts w:ascii="Arial" w:eastAsia="Arial" w:hAnsi="Arial" w:cs="Arial"/>
                <w:noProof/>
              </w:rPr>
              <w:t>41</w:t>
            </w:r>
            <w:r w:rsidR="007A7482">
              <w:rPr>
                <w:rFonts w:asciiTheme="minorHAnsi" w:eastAsiaTheme="minorEastAsia" w:hAnsiTheme="minorHAnsi" w:cstheme="minorBidi"/>
                <w:noProof/>
                <w:color w:val="auto"/>
                <w:kern w:val="2"/>
                <w14:ligatures w14:val="standardContextual"/>
              </w:rPr>
              <w:tab/>
            </w:r>
            <w:r w:rsidR="007A7482" w:rsidRPr="001D3DCD">
              <w:rPr>
                <w:rStyle w:val="Hyperlink"/>
                <w:rFonts w:ascii="Arial" w:eastAsia="Arial" w:hAnsi="Arial" w:cs="Arial"/>
                <w:noProof/>
              </w:rPr>
              <w:t>Commencement</w:t>
            </w:r>
            <w:r w:rsidR="007A7482">
              <w:rPr>
                <w:noProof/>
                <w:webHidden/>
              </w:rPr>
              <w:tab/>
            </w:r>
            <w:r w:rsidR="007A7482">
              <w:rPr>
                <w:noProof/>
                <w:webHidden/>
              </w:rPr>
              <w:fldChar w:fldCharType="begin"/>
            </w:r>
            <w:r w:rsidR="007A7482">
              <w:rPr>
                <w:noProof/>
                <w:webHidden/>
              </w:rPr>
              <w:instrText xml:space="preserve"> PAGEREF _Toc151283308 \h </w:instrText>
            </w:r>
            <w:r w:rsidR="007A7482">
              <w:rPr>
                <w:noProof/>
                <w:webHidden/>
              </w:rPr>
            </w:r>
            <w:r w:rsidR="007A7482">
              <w:rPr>
                <w:noProof/>
                <w:webHidden/>
              </w:rPr>
              <w:fldChar w:fldCharType="separate"/>
            </w:r>
            <w:r w:rsidR="00806443">
              <w:rPr>
                <w:noProof/>
                <w:webHidden/>
              </w:rPr>
              <w:t>17</w:t>
            </w:r>
            <w:r w:rsidR="007A7482">
              <w:rPr>
                <w:noProof/>
                <w:webHidden/>
              </w:rPr>
              <w:fldChar w:fldCharType="end"/>
            </w:r>
          </w:hyperlink>
        </w:p>
        <w:p w14:paraId="2EBF0A4C" w14:textId="11699C82" w:rsidR="009F7E09" w:rsidRDefault="009F7E09">
          <w:r>
            <w:rPr>
              <w:b/>
              <w:bCs/>
              <w:noProof/>
            </w:rPr>
            <w:fldChar w:fldCharType="end"/>
          </w:r>
        </w:p>
      </w:sdtContent>
    </w:sdt>
    <w:p w14:paraId="0C7AA34D" w14:textId="24377C3F" w:rsidR="00405783" w:rsidRPr="00C57761" w:rsidRDefault="00405783"/>
    <w:p w14:paraId="240BF323" w14:textId="5C2EFDA1" w:rsidR="00405783" w:rsidRDefault="00405783">
      <w:pPr>
        <w:spacing w:after="160" w:line="259" w:lineRule="auto"/>
        <w:ind w:left="0" w:right="0" w:firstLine="0"/>
        <w:jc w:val="left"/>
        <w:rPr>
          <w:b/>
        </w:rPr>
      </w:pPr>
      <w:r>
        <w:rPr>
          <w:b/>
        </w:rPr>
        <w:br w:type="page"/>
      </w:r>
    </w:p>
    <w:p w14:paraId="54692756" w14:textId="6E92EE1F" w:rsidR="00D92462" w:rsidRPr="00B66184" w:rsidRDefault="00B32F86">
      <w:pPr>
        <w:spacing w:after="404" w:line="250" w:lineRule="auto"/>
        <w:ind w:left="588" w:right="1150" w:hanging="10"/>
        <w:jc w:val="center"/>
        <w:rPr>
          <w:rFonts w:ascii="Arial" w:hAnsi="Arial" w:cs="Arial"/>
        </w:rPr>
      </w:pPr>
      <w:r w:rsidRPr="00B66184">
        <w:rPr>
          <w:rFonts w:ascii="Arial" w:hAnsi="Arial" w:cs="Arial"/>
          <w:b/>
        </w:rPr>
        <w:lastRenderedPageBreak/>
        <w:t>SECURITIES (AMENDMENT)</w:t>
      </w:r>
      <w:r w:rsidR="0076386A" w:rsidRPr="00B66184">
        <w:rPr>
          <w:rFonts w:ascii="Arial" w:hAnsi="Arial" w:cs="Arial"/>
          <w:b/>
        </w:rPr>
        <w:t xml:space="preserve"> ACT </w:t>
      </w:r>
      <w:r w:rsidRPr="00B66184">
        <w:rPr>
          <w:rFonts w:ascii="Arial" w:hAnsi="Arial" w:cs="Arial"/>
          <w:b/>
        </w:rPr>
        <w:t>2023</w:t>
      </w:r>
    </w:p>
    <w:p w14:paraId="447F765A" w14:textId="42FBFB74" w:rsidR="00C3590C" w:rsidRDefault="00C3590C" w:rsidP="00C3590C">
      <w:pPr>
        <w:pStyle w:val="iLAWS300Article"/>
        <w:jc w:val="center"/>
        <w:outlineLvl w:val="9"/>
        <w:rPr>
          <w:rFonts w:ascii="Arial" w:eastAsia="Arial" w:hAnsi="Arial" w:cs="Arial"/>
        </w:rPr>
      </w:pPr>
      <w:bookmarkStart w:id="0" w:name="_Toc121091710"/>
      <w:bookmarkStart w:id="1" w:name="_Toc136474856"/>
      <w:r w:rsidRPr="00C3590C">
        <w:rPr>
          <w:rFonts w:ascii="Arial" w:eastAsia="Arial" w:hAnsi="Arial" w:cs="Arial"/>
        </w:rPr>
        <w:t>An Act to amend the S</w:t>
      </w:r>
      <w:r>
        <w:rPr>
          <w:rFonts w:ascii="Arial" w:eastAsia="Arial" w:hAnsi="Arial" w:cs="Arial"/>
        </w:rPr>
        <w:t>ecurities Act 2005</w:t>
      </w:r>
    </w:p>
    <w:p w14:paraId="2847AB59" w14:textId="147AC25F" w:rsidR="00DB6E58" w:rsidRPr="00441EF3" w:rsidRDefault="00DB6E58" w:rsidP="00DB6E58">
      <w:pPr>
        <w:pStyle w:val="iLAWS300Article"/>
        <w:rPr>
          <w:rFonts w:ascii="Arial" w:hAnsi="Arial" w:cs="Arial"/>
        </w:rPr>
      </w:pPr>
      <w:bookmarkStart w:id="2" w:name="_Toc151283268"/>
      <w:r>
        <w:rPr>
          <w:rFonts w:ascii="Arial" w:eastAsia="Arial" w:hAnsi="Arial" w:cs="Arial"/>
        </w:rPr>
        <w:t>1</w:t>
      </w:r>
      <w:r w:rsidRPr="00441EF3">
        <w:rPr>
          <w:rFonts w:ascii="Arial" w:eastAsia="Arial" w:hAnsi="Arial" w:cs="Arial"/>
        </w:rPr>
        <w:tab/>
      </w:r>
      <w:r>
        <w:rPr>
          <w:rFonts w:ascii="Arial" w:eastAsia="Arial" w:hAnsi="Arial" w:cs="Arial"/>
        </w:rPr>
        <w:t>Short title</w:t>
      </w:r>
      <w:bookmarkEnd w:id="2"/>
    </w:p>
    <w:bookmarkEnd w:id="0"/>
    <w:bookmarkEnd w:id="1"/>
    <w:p w14:paraId="3FC9B7D6" w14:textId="6F8AA2FF" w:rsidR="00877530" w:rsidRPr="00956BB0" w:rsidRDefault="00C277D3" w:rsidP="00877530">
      <w:pPr>
        <w:pStyle w:val="iLAWS301Paragraphunnumbered"/>
      </w:pPr>
      <w:r w:rsidRPr="00C277D3">
        <w:t>This Act may be cited as the Securities (Amendment) Act 2023</w:t>
      </w:r>
      <w:r w:rsidR="00877530" w:rsidRPr="00956BB0">
        <w:t>.</w:t>
      </w:r>
    </w:p>
    <w:p w14:paraId="02B908A3" w14:textId="2E5BEBB3" w:rsidR="004311C2" w:rsidRPr="00441EF3" w:rsidRDefault="004311C2" w:rsidP="004311C2">
      <w:pPr>
        <w:pStyle w:val="iLAWS300Article"/>
        <w:rPr>
          <w:rFonts w:ascii="Arial" w:hAnsi="Arial" w:cs="Arial"/>
        </w:rPr>
      </w:pPr>
      <w:bookmarkStart w:id="3" w:name="_Toc151283269"/>
      <w:bookmarkStart w:id="4" w:name="_Toc121091711"/>
      <w:bookmarkStart w:id="5" w:name="_Toc136474857"/>
      <w:r>
        <w:rPr>
          <w:rFonts w:ascii="Arial" w:eastAsia="Arial" w:hAnsi="Arial" w:cs="Arial"/>
        </w:rPr>
        <w:t>2</w:t>
      </w:r>
      <w:r w:rsidRPr="00441EF3">
        <w:rPr>
          <w:rFonts w:ascii="Arial" w:eastAsia="Arial" w:hAnsi="Arial" w:cs="Arial"/>
        </w:rPr>
        <w:tab/>
      </w:r>
      <w:r w:rsidR="00DD2C85">
        <w:rPr>
          <w:rFonts w:ascii="Arial" w:eastAsia="Arial" w:hAnsi="Arial" w:cs="Arial"/>
        </w:rPr>
        <w:t>Interpretation</w:t>
      </w:r>
      <w:bookmarkEnd w:id="3"/>
    </w:p>
    <w:bookmarkEnd w:id="4"/>
    <w:bookmarkEnd w:id="5"/>
    <w:p w14:paraId="602DF856" w14:textId="4C2ABDC4" w:rsidR="00DE3CD5" w:rsidRPr="00DE3CD5" w:rsidRDefault="00DE3CD5" w:rsidP="00DE3CD5">
      <w:pPr>
        <w:pStyle w:val="iLAWS301Paragraphunnumbered"/>
      </w:pPr>
      <w:r w:rsidRPr="00DE3CD5">
        <w:t>In this Act</w:t>
      </w:r>
      <w:bookmarkStart w:id="6" w:name="_Hlk134491696"/>
      <w:r w:rsidRPr="00DE3CD5">
        <w:t>—</w:t>
      </w:r>
      <w:bookmarkEnd w:id="6"/>
    </w:p>
    <w:p w14:paraId="5E9CDED2" w14:textId="1EBEEF9B" w:rsidR="00DE3CD5" w:rsidRPr="00DE3CD5" w:rsidRDefault="00DE3CD5" w:rsidP="00DE3CD5">
      <w:pPr>
        <w:pStyle w:val="iLAWS301Paragraphunnumbered"/>
      </w:pPr>
      <w:r w:rsidRPr="00DE3CD5">
        <w:t>“</w:t>
      </w:r>
      <w:proofErr w:type="gramStart"/>
      <w:r w:rsidRPr="00DE3CD5">
        <w:t>principal</w:t>
      </w:r>
      <w:proofErr w:type="gramEnd"/>
      <w:r w:rsidRPr="00DE3CD5">
        <w:t xml:space="preserve"> Act” mean</w:t>
      </w:r>
      <w:r w:rsidR="00EE5836">
        <w:t>s</w:t>
      </w:r>
      <w:r w:rsidRPr="00DE3CD5">
        <w:t xml:space="preserve"> the Securities Act.</w:t>
      </w:r>
    </w:p>
    <w:p w14:paraId="1146CD10" w14:textId="784DD9C4" w:rsidR="004311C2" w:rsidRPr="00441EF3" w:rsidRDefault="004311C2" w:rsidP="004311C2">
      <w:pPr>
        <w:pStyle w:val="iLAWS300Article"/>
        <w:rPr>
          <w:rFonts w:ascii="Arial" w:hAnsi="Arial" w:cs="Arial"/>
        </w:rPr>
      </w:pPr>
      <w:bookmarkStart w:id="7" w:name="_Toc151283270"/>
      <w:bookmarkStart w:id="8" w:name="_Toc121091712"/>
      <w:bookmarkStart w:id="9" w:name="_Toc136474858"/>
      <w:bookmarkStart w:id="10" w:name="_Hlk136472332"/>
      <w:r>
        <w:rPr>
          <w:rFonts w:ascii="Arial" w:eastAsia="Arial" w:hAnsi="Arial" w:cs="Arial"/>
        </w:rPr>
        <w:t>3</w:t>
      </w:r>
      <w:r w:rsidRPr="00441EF3">
        <w:rPr>
          <w:rFonts w:ascii="Arial" w:eastAsia="Arial" w:hAnsi="Arial" w:cs="Arial"/>
        </w:rPr>
        <w:tab/>
        <w:t xml:space="preserve">Section </w:t>
      </w:r>
      <w:r>
        <w:rPr>
          <w:rFonts w:ascii="Arial" w:eastAsia="Arial" w:hAnsi="Arial" w:cs="Arial"/>
        </w:rPr>
        <w:t>2</w:t>
      </w:r>
      <w:r w:rsidRPr="00441EF3">
        <w:rPr>
          <w:rFonts w:ascii="Arial" w:eastAsia="Arial" w:hAnsi="Arial" w:cs="Arial"/>
        </w:rPr>
        <w:t xml:space="preserve"> of the principal Act amended</w:t>
      </w:r>
      <w:bookmarkEnd w:id="7"/>
    </w:p>
    <w:bookmarkEnd w:id="8"/>
    <w:bookmarkEnd w:id="9"/>
    <w:bookmarkEnd w:id="10"/>
    <w:p w14:paraId="6E8E6BEF" w14:textId="69D9250B" w:rsidR="00427166" w:rsidRPr="00427166" w:rsidRDefault="00427166" w:rsidP="00427166">
      <w:pPr>
        <w:pStyle w:val="iLAWS310Paragraph"/>
      </w:pPr>
      <w:r w:rsidRPr="00427166">
        <w:t>Section 2 of the principal Act is amended</w:t>
      </w:r>
      <w:bookmarkStart w:id="11" w:name="_Hlk136487190"/>
      <w:r w:rsidRPr="00427166">
        <w:t>—</w:t>
      </w:r>
      <w:bookmarkEnd w:id="11"/>
    </w:p>
    <w:p w14:paraId="1E379130" w14:textId="335BA6B8" w:rsidR="00902F86" w:rsidRDefault="00902F86" w:rsidP="00427166">
      <w:pPr>
        <w:pStyle w:val="iLAWS310Paragraph"/>
        <w:numPr>
          <w:ilvl w:val="0"/>
          <w:numId w:val="4"/>
        </w:numPr>
      </w:pPr>
      <w:r>
        <w:t>b</w:t>
      </w:r>
      <w:r w:rsidR="0076455C">
        <w:t xml:space="preserve">y renumbering </w:t>
      </w:r>
      <w:r>
        <w:t xml:space="preserve">section 2 as section 2(1), </w:t>
      </w:r>
    </w:p>
    <w:p w14:paraId="68CF9C2B" w14:textId="68BFB960" w:rsidR="00427166" w:rsidRPr="00427166" w:rsidRDefault="00427166" w:rsidP="00427166">
      <w:pPr>
        <w:pStyle w:val="iLAWS310Paragraph"/>
        <w:numPr>
          <w:ilvl w:val="0"/>
          <w:numId w:val="4"/>
        </w:numPr>
      </w:pPr>
      <w:r w:rsidRPr="00427166">
        <w:t>in the definition of “inside information”, by inserting after the words “reporting issuer” wherever they occur the words “or listed company”;</w:t>
      </w:r>
    </w:p>
    <w:p w14:paraId="7FA710A2" w14:textId="77777777" w:rsidR="00427166" w:rsidRDefault="00427166" w:rsidP="00427166">
      <w:pPr>
        <w:pStyle w:val="iLAWS310Paragraph"/>
        <w:numPr>
          <w:ilvl w:val="0"/>
          <w:numId w:val="4"/>
        </w:numPr>
      </w:pPr>
      <w:r w:rsidRPr="00427166">
        <w:t>in the definition of “insider of a reporting issuer”, by inserting after the words “reporting issuer” wherever they occur the words “or listed company”;</w:t>
      </w:r>
    </w:p>
    <w:p w14:paraId="337A0C10" w14:textId="4A6F030B" w:rsidR="00C149C1" w:rsidRDefault="00F57E5A" w:rsidP="005937D3">
      <w:pPr>
        <w:pStyle w:val="iLAWS310Paragraph"/>
      </w:pPr>
      <w:r>
        <w:t>(</w:t>
      </w:r>
      <w:r w:rsidR="00902F86">
        <w:t>d</w:t>
      </w:r>
      <w:r>
        <w:t>)</w:t>
      </w:r>
      <w:r>
        <w:tab/>
      </w:r>
      <w:r w:rsidR="00B742AC">
        <w:t>after the def</w:t>
      </w:r>
      <w:r w:rsidR="00616772">
        <w:t>i</w:t>
      </w:r>
      <w:r w:rsidR="00B742AC">
        <w:t>nition</w:t>
      </w:r>
      <w:r w:rsidR="00616772">
        <w:t xml:space="preserve"> of “licensee” </w:t>
      </w:r>
      <w:r>
        <w:t>by inserting</w:t>
      </w:r>
      <w:r w:rsidR="00616772">
        <w:t xml:space="preserve"> the following definition</w:t>
      </w:r>
      <w:bookmarkStart w:id="12" w:name="_Hlk137758425"/>
      <w:r w:rsidR="00616772" w:rsidRPr="00427166">
        <w:t>—</w:t>
      </w:r>
      <w:r w:rsidR="00B742AC">
        <w:t xml:space="preserve"> </w:t>
      </w:r>
      <w:bookmarkEnd w:id="12"/>
    </w:p>
    <w:p w14:paraId="518371D3" w14:textId="33BA798C" w:rsidR="005A2ED8" w:rsidRPr="00C149C1" w:rsidRDefault="00C149C1" w:rsidP="00C149C1">
      <w:pPr>
        <w:spacing w:after="15" w:line="259" w:lineRule="auto"/>
        <w:ind w:left="1558" w:firstLine="0"/>
        <w:jc w:val="left"/>
      </w:pPr>
      <w:r>
        <w:t xml:space="preserve">“ </w:t>
      </w:r>
      <w:r w:rsidRPr="00C149C1">
        <w:t>“listed company” means a company listed on an Official Exchange;</w:t>
      </w:r>
      <w:r>
        <w:t>”;</w:t>
      </w:r>
    </w:p>
    <w:p w14:paraId="53D2C934" w14:textId="1FD493FD" w:rsidR="005A2ED8" w:rsidRDefault="003B5B8C" w:rsidP="000B0E70">
      <w:pPr>
        <w:pStyle w:val="iLAWS310Paragraph"/>
        <w:ind w:left="567" w:firstLine="0"/>
      </w:pPr>
      <w:r>
        <w:t>(</w:t>
      </w:r>
      <w:r w:rsidR="00902F86">
        <w:t>e</w:t>
      </w:r>
      <w:r>
        <w:t>)</w:t>
      </w:r>
      <w:r>
        <w:tab/>
      </w:r>
      <w:r w:rsidR="00DB01C0">
        <w:t>a</w:t>
      </w:r>
      <w:r w:rsidR="005A2ED8">
        <w:t xml:space="preserve">fter the definition </w:t>
      </w:r>
      <w:r w:rsidR="003C7E90">
        <w:t>“listed securities</w:t>
      </w:r>
      <w:r w:rsidR="00DB01C0">
        <w:t xml:space="preserve">” </w:t>
      </w:r>
      <w:r w:rsidR="00F57E5A">
        <w:t>by inserting the following definit</w:t>
      </w:r>
      <w:r w:rsidR="00DB01C0">
        <w:t>i</w:t>
      </w:r>
      <w:r w:rsidR="00F57E5A">
        <w:t>on</w:t>
      </w:r>
      <w:bookmarkStart w:id="13" w:name="_Hlk137765266"/>
      <w:r w:rsidR="00F57E5A" w:rsidRPr="00427166">
        <w:t>—</w:t>
      </w:r>
      <w:bookmarkEnd w:id="13"/>
    </w:p>
    <w:p w14:paraId="39E0ED34" w14:textId="393E2654" w:rsidR="005937D3" w:rsidRPr="005937D3" w:rsidRDefault="00F57E5A" w:rsidP="005937D3">
      <w:pPr>
        <w:pStyle w:val="iLAWS310Paragraph"/>
        <w:ind w:left="1137" w:firstLine="0"/>
      </w:pPr>
      <w:r>
        <w:t>“ “</w:t>
      </w:r>
      <w:r w:rsidR="000B0E70" w:rsidRPr="000B0E70">
        <w:t>m</w:t>
      </w:r>
      <w:r w:rsidR="005937D3" w:rsidRPr="000B0E70">
        <w:t xml:space="preserve">inimum </w:t>
      </w:r>
      <w:r w:rsidR="000B0E70" w:rsidRPr="000B0E70">
        <w:t>u</w:t>
      </w:r>
      <w:r w:rsidR="005937D3" w:rsidRPr="000B0E70">
        <w:t xml:space="preserve">nimpaired </w:t>
      </w:r>
      <w:r w:rsidR="000B0E70" w:rsidRPr="000B0E70">
        <w:t>c</w:t>
      </w:r>
      <w:r w:rsidR="005937D3" w:rsidRPr="000B0E70">
        <w:t>apital</w:t>
      </w:r>
      <w:r w:rsidR="005937D3">
        <w:t>” means</w:t>
      </w:r>
      <w:r w:rsidR="005937D3" w:rsidRPr="005937D3">
        <w:t>—</w:t>
      </w:r>
    </w:p>
    <w:p w14:paraId="04F8BE42" w14:textId="497C0A5B" w:rsidR="005937D3" w:rsidRPr="005937D3" w:rsidRDefault="005937D3" w:rsidP="005937D3">
      <w:pPr>
        <w:pStyle w:val="iLAWS320SubParagraph"/>
        <w:numPr>
          <w:ilvl w:val="2"/>
          <w:numId w:val="12"/>
        </w:numPr>
        <w:tabs>
          <w:tab w:val="clear" w:pos="1701"/>
          <w:tab w:val="left" w:pos="1985"/>
        </w:tabs>
        <w:ind w:hanging="922"/>
        <w:rPr>
          <w:rFonts w:eastAsia="MS Mincho"/>
        </w:rPr>
      </w:pPr>
      <w:r>
        <w:rPr>
          <w:rFonts w:eastAsia="MS Mincho"/>
        </w:rPr>
        <w:t>f</w:t>
      </w:r>
      <w:r w:rsidRPr="005937D3">
        <w:rPr>
          <w:rFonts w:eastAsia="MS Mincho"/>
        </w:rPr>
        <w:t>ully-paid-up ordinary share capital</w:t>
      </w:r>
      <w:r w:rsidR="0098332E">
        <w:rPr>
          <w:rFonts w:eastAsia="MS Mincho"/>
        </w:rPr>
        <w:t>;</w:t>
      </w:r>
    </w:p>
    <w:p w14:paraId="55A79FB3" w14:textId="1B969BFC" w:rsidR="005937D3" w:rsidRPr="005937D3" w:rsidRDefault="005937D3" w:rsidP="005937D3">
      <w:pPr>
        <w:pStyle w:val="iLAWS320SubParagraph"/>
        <w:numPr>
          <w:ilvl w:val="2"/>
          <w:numId w:val="12"/>
        </w:numPr>
        <w:tabs>
          <w:tab w:val="clear" w:pos="1701"/>
          <w:tab w:val="left" w:pos="1985"/>
        </w:tabs>
        <w:ind w:hanging="922"/>
        <w:rPr>
          <w:rFonts w:eastAsia="MS Mincho"/>
        </w:rPr>
      </w:pPr>
      <w:r>
        <w:rPr>
          <w:rFonts w:eastAsia="MS Mincho"/>
        </w:rPr>
        <w:t>f</w:t>
      </w:r>
      <w:r w:rsidRPr="005937D3">
        <w:rPr>
          <w:rFonts w:eastAsia="MS Mincho"/>
        </w:rPr>
        <w:t>ully-paid-up irredeemable and non-cumulative preference share capital;</w:t>
      </w:r>
    </w:p>
    <w:p w14:paraId="1AA678EF" w14:textId="20F51AC7" w:rsidR="005937D3" w:rsidRPr="005937D3" w:rsidRDefault="005937D3" w:rsidP="005937D3">
      <w:pPr>
        <w:pStyle w:val="iLAWS320SubParagraph"/>
        <w:numPr>
          <w:ilvl w:val="2"/>
          <w:numId w:val="12"/>
        </w:numPr>
        <w:tabs>
          <w:tab w:val="clear" w:pos="1701"/>
          <w:tab w:val="left" w:pos="1985"/>
        </w:tabs>
        <w:ind w:hanging="922"/>
        <w:rPr>
          <w:rFonts w:eastAsia="MS Mincho"/>
        </w:rPr>
      </w:pPr>
      <w:r>
        <w:rPr>
          <w:rFonts w:eastAsia="MS Mincho"/>
        </w:rPr>
        <w:t>r</w:t>
      </w:r>
      <w:r w:rsidRPr="005937D3">
        <w:rPr>
          <w:rFonts w:eastAsia="MS Mincho"/>
        </w:rPr>
        <w:t>eserves</w:t>
      </w:r>
      <w:r>
        <w:rPr>
          <w:rFonts w:eastAsia="MS Mincho"/>
        </w:rPr>
        <w:t>; and</w:t>
      </w:r>
    </w:p>
    <w:p w14:paraId="7F7A39AB" w14:textId="57B49408" w:rsidR="005937D3" w:rsidRPr="005937D3" w:rsidRDefault="005937D3" w:rsidP="005937D3">
      <w:pPr>
        <w:pStyle w:val="iLAWS320SubParagraph"/>
        <w:numPr>
          <w:ilvl w:val="2"/>
          <w:numId w:val="12"/>
        </w:numPr>
        <w:tabs>
          <w:tab w:val="clear" w:pos="1701"/>
          <w:tab w:val="left" w:pos="1985"/>
        </w:tabs>
        <w:ind w:hanging="922"/>
        <w:rPr>
          <w:rFonts w:eastAsia="MS Mincho"/>
        </w:rPr>
      </w:pPr>
      <w:r>
        <w:rPr>
          <w:rFonts w:eastAsia="MS Mincho"/>
        </w:rPr>
        <w:t>a</w:t>
      </w:r>
      <w:r w:rsidRPr="005937D3">
        <w:rPr>
          <w:rFonts w:eastAsia="MS Mincho"/>
        </w:rPr>
        <w:t>ny unappropriated profit or loss in the latest audited accounts of the firm,</w:t>
      </w:r>
    </w:p>
    <w:p w14:paraId="0F0354F4" w14:textId="7AA574A5" w:rsidR="005937D3" w:rsidRPr="005937D3" w:rsidRDefault="005937D3" w:rsidP="00C122F6">
      <w:pPr>
        <w:pStyle w:val="iLAWS320SubParagraph"/>
        <w:tabs>
          <w:tab w:val="clear" w:pos="1701"/>
        </w:tabs>
        <w:ind w:left="0" w:firstLine="1418"/>
        <w:rPr>
          <w:rFonts w:eastAsia="MS Mincho"/>
        </w:rPr>
      </w:pPr>
      <w:r>
        <w:rPr>
          <w:rFonts w:eastAsia="MS Mincho"/>
        </w:rPr>
        <w:t>l</w:t>
      </w:r>
      <w:r w:rsidRPr="005937D3">
        <w:rPr>
          <w:rFonts w:eastAsia="MS Mincho"/>
        </w:rPr>
        <w:t>ess any interim loss in the latest management accounts of the firm</w:t>
      </w:r>
      <w:r>
        <w:rPr>
          <w:rFonts w:eastAsia="MS Mincho"/>
        </w:rPr>
        <w:t xml:space="preserve">;”; </w:t>
      </w:r>
    </w:p>
    <w:p w14:paraId="020968D3" w14:textId="14616D30" w:rsidR="005A2ED8" w:rsidRDefault="00C122F6" w:rsidP="00C122F6">
      <w:pPr>
        <w:pStyle w:val="iLAWS310Paragraph"/>
      </w:pPr>
      <w:r>
        <w:t>(</w:t>
      </w:r>
      <w:r w:rsidR="0038616E">
        <w:t>f</w:t>
      </w:r>
      <w:r>
        <w:t>)</w:t>
      </w:r>
      <w:r w:rsidR="003B5B8C">
        <w:tab/>
      </w:r>
      <w:r w:rsidR="00427166" w:rsidRPr="00427166">
        <w:t>in the definition of “officer” by inserting after the words “a reporting issuer” the words “, a listed company”</w:t>
      </w:r>
      <w:r w:rsidR="0098332E">
        <w:t>;</w:t>
      </w:r>
    </w:p>
    <w:p w14:paraId="38EC65E4" w14:textId="68397613" w:rsidR="0038616E" w:rsidRDefault="0038616E" w:rsidP="00C122F6">
      <w:pPr>
        <w:pStyle w:val="iLAWS310Paragraph"/>
      </w:pPr>
      <w:r>
        <w:t>(g)</w:t>
      </w:r>
      <w:r>
        <w:tab/>
        <w:t>inserting after subsection (1), the following subsection</w:t>
      </w:r>
      <w:r w:rsidRPr="00427166">
        <w:t>—</w:t>
      </w:r>
    </w:p>
    <w:p w14:paraId="47361016" w14:textId="1D32BB4B" w:rsidR="00427166" w:rsidRDefault="00E91643" w:rsidP="00653790">
      <w:pPr>
        <w:pStyle w:val="iLAWS301Paragraphunnumbered"/>
        <w:ind w:left="1701" w:hanging="567"/>
      </w:pPr>
      <w:r>
        <w:t>“(2)</w:t>
      </w:r>
      <w:r>
        <w:tab/>
      </w:r>
      <w:r w:rsidR="00196E16">
        <w:t>For the purposes of this Act “</w:t>
      </w:r>
      <w:r>
        <w:t xml:space="preserve">information </w:t>
      </w:r>
      <w:r w:rsidR="00196E16">
        <w:t xml:space="preserve">would be likely to have a material effect </w:t>
      </w:r>
      <w:r w:rsidR="000325E0">
        <w:t xml:space="preserve">on the price or the value of </w:t>
      </w:r>
      <w:r w:rsidR="001019A4">
        <w:t xml:space="preserve">securities of a reporting issuer or listed company or </w:t>
      </w:r>
      <w:r w:rsidR="008E020C">
        <w:t>of securities issued by a relat</w:t>
      </w:r>
      <w:r w:rsidR="0072702C">
        <w:t>ed corporation of the reporting issuer or listed company</w:t>
      </w:r>
      <w:r w:rsidR="00746396">
        <w:t>”</w:t>
      </w:r>
      <w:r w:rsidR="0072702C">
        <w:t xml:space="preserve"> if </w:t>
      </w:r>
      <w:r w:rsidR="00F85A0E">
        <w:t>an</w:t>
      </w:r>
      <w:r w:rsidR="00F85A0E" w:rsidRPr="00F85A0E">
        <w:t xml:space="preserve"> investor</w:t>
      </w:r>
      <w:r w:rsidR="00030A4B">
        <w:t xml:space="preserve"> </w:t>
      </w:r>
      <w:r w:rsidR="00F85A0E" w:rsidRPr="00F85A0E">
        <w:t xml:space="preserve">would be likely </w:t>
      </w:r>
      <w:r w:rsidR="00E205C0">
        <w:t xml:space="preserve">it </w:t>
      </w:r>
      <w:r w:rsidR="00F85A0E" w:rsidRPr="00F85A0E">
        <w:t>to use as part of the basis of their investment decisions</w:t>
      </w:r>
      <w:r w:rsidR="007E617C">
        <w:t xml:space="preserve"> in respect of that reporting issuer or listed company.</w:t>
      </w:r>
      <w:r w:rsidR="00366D5F">
        <w:t>”.</w:t>
      </w:r>
    </w:p>
    <w:p w14:paraId="278EB93D" w14:textId="609E6CBA" w:rsidR="008762B0" w:rsidRPr="00441EF3" w:rsidRDefault="008762B0" w:rsidP="008762B0">
      <w:pPr>
        <w:pStyle w:val="iLAWS300Article"/>
        <w:rPr>
          <w:rFonts w:ascii="Arial" w:hAnsi="Arial" w:cs="Arial"/>
        </w:rPr>
      </w:pPr>
      <w:bookmarkStart w:id="14" w:name="_Toc151283271"/>
      <w:r>
        <w:rPr>
          <w:rFonts w:ascii="Arial" w:eastAsia="Arial" w:hAnsi="Arial" w:cs="Arial"/>
        </w:rPr>
        <w:t>4</w:t>
      </w:r>
      <w:r w:rsidRPr="00441EF3">
        <w:rPr>
          <w:rFonts w:ascii="Arial" w:eastAsia="Arial" w:hAnsi="Arial" w:cs="Arial"/>
        </w:rPr>
        <w:tab/>
        <w:t xml:space="preserve">Section </w:t>
      </w:r>
      <w:r>
        <w:rPr>
          <w:rFonts w:ascii="Arial" w:eastAsia="Arial" w:hAnsi="Arial" w:cs="Arial"/>
        </w:rPr>
        <w:t>6</w:t>
      </w:r>
      <w:r w:rsidRPr="00441EF3">
        <w:rPr>
          <w:rFonts w:ascii="Arial" w:eastAsia="Arial" w:hAnsi="Arial" w:cs="Arial"/>
        </w:rPr>
        <w:t xml:space="preserve"> of the principal Act amended</w:t>
      </w:r>
      <w:bookmarkEnd w:id="14"/>
    </w:p>
    <w:p w14:paraId="31C5EBA2" w14:textId="7F739562" w:rsidR="00427166" w:rsidRPr="00427166" w:rsidRDefault="00427166" w:rsidP="00427166">
      <w:pPr>
        <w:pStyle w:val="iLAWS310Paragraph"/>
      </w:pPr>
      <w:r w:rsidRPr="00427166">
        <w:t>Section 6 of the principal Act is amended in subsection (2)</w:t>
      </w:r>
      <w:bookmarkStart w:id="15" w:name="_Hlk134492678"/>
      <w:bookmarkStart w:id="16" w:name="_Hlk132046489"/>
      <w:r w:rsidRPr="00427166">
        <w:t>—</w:t>
      </w:r>
      <w:bookmarkEnd w:id="15"/>
    </w:p>
    <w:bookmarkEnd w:id="16"/>
    <w:p w14:paraId="10ED8504" w14:textId="77777777" w:rsidR="00427166" w:rsidRPr="00427166" w:rsidRDefault="00427166" w:rsidP="00427166">
      <w:pPr>
        <w:pStyle w:val="iLAWS310Paragraph"/>
        <w:numPr>
          <w:ilvl w:val="0"/>
          <w:numId w:val="1"/>
        </w:numPr>
        <w:ind w:hanging="579"/>
      </w:pPr>
      <w:r w:rsidRPr="00427166">
        <w:t>by inserting after the words “In administering this Act, the Commission shall” the words “, in addition to having the objects under section 4(1) of the Financial Services Act”;</w:t>
      </w:r>
    </w:p>
    <w:p w14:paraId="031491CB" w14:textId="3E47F65A" w:rsidR="00427166" w:rsidRPr="00427166" w:rsidRDefault="00427166" w:rsidP="00427166">
      <w:pPr>
        <w:pStyle w:val="iLAWS310Paragraph"/>
        <w:numPr>
          <w:ilvl w:val="0"/>
          <w:numId w:val="1"/>
        </w:numPr>
        <w:ind w:hanging="579"/>
      </w:pPr>
      <w:r w:rsidRPr="00427166">
        <w:t>in paragraph (h), by deleting the word “and</w:t>
      </w:r>
      <w:r w:rsidR="00B725DF" w:rsidRPr="00427166">
        <w:t>”.</w:t>
      </w:r>
    </w:p>
    <w:p w14:paraId="4729DA15" w14:textId="67B4FC1E" w:rsidR="00427166" w:rsidRPr="00427166" w:rsidRDefault="00427166" w:rsidP="00427166">
      <w:pPr>
        <w:pStyle w:val="iLAWS310Paragraph"/>
        <w:numPr>
          <w:ilvl w:val="0"/>
          <w:numId w:val="1"/>
        </w:numPr>
        <w:ind w:hanging="579"/>
      </w:pPr>
      <w:r w:rsidRPr="00427166">
        <w:t>in paragraph (i), by deleting the full stop and replacing it by the words “; and”;</w:t>
      </w:r>
    </w:p>
    <w:p w14:paraId="2BA04075" w14:textId="7E977E24" w:rsidR="00427166" w:rsidRPr="00427166" w:rsidRDefault="00427166" w:rsidP="00427166">
      <w:pPr>
        <w:pStyle w:val="iLAWS310Paragraph"/>
        <w:numPr>
          <w:ilvl w:val="0"/>
          <w:numId w:val="1"/>
        </w:numPr>
        <w:ind w:hanging="579"/>
      </w:pPr>
      <w:r w:rsidRPr="00427166">
        <w:t>by inserting after paragraph (i) the following paragraph—</w:t>
      </w:r>
    </w:p>
    <w:p w14:paraId="3DD59767" w14:textId="3EAD8E6C" w:rsidR="00427166" w:rsidRDefault="00427166" w:rsidP="00427166">
      <w:pPr>
        <w:pStyle w:val="iLAWS310Paragraph"/>
        <w:tabs>
          <w:tab w:val="clear" w:pos="1134"/>
          <w:tab w:val="left" w:pos="1701"/>
        </w:tabs>
        <w:ind w:left="1701"/>
      </w:pPr>
      <w:r w:rsidRPr="00427166">
        <w:t>“(j)</w:t>
      </w:r>
      <w:r w:rsidRPr="00427166">
        <w:tab/>
        <w:t xml:space="preserve">carry out assessments of risks arising from new products, markets and participants on a regular basis and at least </w:t>
      </w:r>
      <w:r w:rsidR="00591124">
        <w:t>annually</w:t>
      </w:r>
      <w:r w:rsidRPr="00427166">
        <w:t>.”.</w:t>
      </w:r>
    </w:p>
    <w:p w14:paraId="1E49D7CA" w14:textId="34C1961C" w:rsidR="000408BE" w:rsidRDefault="009F542E" w:rsidP="000408BE">
      <w:pPr>
        <w:pStyle w:val="iLAWS300Article"/>
        <w:rPr>
          <w:rFonts w:ascii="Arial" w:eastAsia="Arial" w:hAnsi="Arial" w:cs="Arial"/>
        </w:rPr>
      </w:pPr>
      <w:bookmarkStart w:id="17" w:name="_Toc151283272"/>
      <w:r>
        <w:rPr>
          <w:rFonts w:ascii="Arial" w:eastAsia="Arial" w:hAnsi="Arial" w:cs="Arial"/>
        </w:rPr>
        <w:t>5</w:t>
      </w:r>
      <w:r w:rsidR="000408BE" w:rsidRPr="00441EF3">
        <w:rPr>
          <w:rFonts w:ascii="Arial" w:eastAsia="Arial" w:hAnsi="Arial" w:cs="Arial"/>
        </w:rPr>
        <w:tab/>
        <w:t xml:space="preserve">Section </w:t>
      </w:r>
      <w:r w:rsidR="000408BE">
        <w:rPr>
          <w:rFonts w:ascii="Arial" w:eastAsia="Arial" w:hAnsi="Arial" w:cs="Arial"/>
        </w:rPr>
        <w:t>8A</w:t>
      </w:r>
      <w:r w:rsidR="000408BE" w:rsidRPr="00441EF3">
        <w:rPr>
          <w:rFonts w:ascii="Arial" w:eastAsia="Arial" w:hAnsi="Arial" w:cs="Arial"/>
        </w:rPr>
        <w:t xml:space="preserve"> of the principal Act </w:t>
      </w:r>
      <w:r w:rsidR="000408BE">
        <w:rPr>
          <w:rFonts w:ascii="Arial" w:eastAsia="Arial" w:hAnsi="Arial" w:cs="Arial"/>
        </w:rPr>
        <w:t>inserted</w:t>
      </w:r>
      <w:bookmarkEnd w:id="17"/>
    </w:p>
    <w:p w14:paraId="46C2C3F6" w14:textId="720EE27E" w:rsidR="000408BE" w:rsidRDefault="000408BE" w:rsidP="000408BE">
      <w:pPr>
        <w:pStyle w:val="iLAWS310Paragraph"/>
      </w:pPr>
      <w:r>
        <w:t>In</w:t>
      </w:r>
      <w:r w:rsidR="00A44B04">
        <w:t xml:space="preserve"> Part </w:t>
      </w:r>
      <w:r w:rsidR="00081F38">
        <w:t>III after before the Sub-</w:t>
      </w:r>
      <w:r w:rsidR="00684831">
        <w:t>Part</w:t>
      </w:r>
      <w:r w:rsidR="00081F38">
        <w:t xml:space="preserve"> A heading there is inserted the following </w:t>
      </w:r>
      <w:r w:rsidR="005F57B7">
        <w:t xml:space="preserve">new </w:t>
      </w:r>
      <w:r w:rsidR="00081F38">
        <w:t>section</w:t>
      </w:r>
      <w:r w:rsidR="00081F38" w:rsidRPr="00427166">
        <w:t>—</w:t>
      </w:r>
    </w:p>
    <w:p w14:paraId="7D7FAE49" w14:textId="20EDF04C" w:rsidR="00995EB6" w:rsidRPr="00DF292B" w:rsidRDefault="00995EB6" w:rsidP="009776FA">
      <w:pPr>
        <w:pStyle w:val="iLAWS301Paragraphunnumbered"/>
        <w:tabs>
          <w:tab w:val="left" w:pos="1134"/>
        </w:tabs>
        <w:rPr>
          <w:rFonts w:ascii="Arial" w:hAnsi="Arial" w:cs="Arial"/>
          <w:b/>
          <w:bCs/>
        </w:rPr>
      </w:pPr>
      <w:r w:rsidRPr="00DD160D">
        <w:t>“</w:t>
      </w:r>
      <w:r w:rsidR="00A07EE3" w:rsidRPr="00DF292B">
        <w:rPr>
          <w:rFonts w:ascii="Arial" w:hAnsi="Arial" w:cs="Arial"/>
          <w:b/>
          <w:bCs/>
        </w:rPr>
        <w:t>8</w:t>
      </w:r>
      <w:r w:rsidRPr="00DF292B">
        <w:rPr>
          <w:rFonts w:ascii="Arial" w:hAnsi="Arial" w:cs="Arial"/>
          <w:b/>
          <w:bCs/>
        </w:rPr>
        <w:t>A</w:t>
      </w:r>
      <w:r w:rsidRPr="00DF292B">
        <w:rPr>
          <w:rFonts w:ascii="Arial" w:hAnsi="Arial" w:cs="Arial"/>
          <w:b/>
          <w:bCs/>
        </w:rPr>
        <w:tab/>
      </w:r>
      <w:r w:rsidR="00A07EE3" w:rsidRPr="00DF292B">
        <w:rPr>
          <w:rFonts w:ascii="Arial" w:hAnsi="Arial" w:cs="Arial"/>
          <w:b/>
          <w:bCs/>
        </w:rPr>
        <w:t>Principles</w:t>
      </w:r>
    </w:p>
    <w:p w14:paraId="2DEE2392" w14:textId="3E423F66" w:rsidR="00A41060" w:rsidRDefault="00AC133A" w:rsidP="007470A4">
      <w:pPr>
        <w:pStyle w:val="iLAWS310Paragraph"/>
        <w:ind w:firstLine="0"/>
      </w:pPr>
      <w:r>
        <w:t>A</w:t>
      </w:r>
      <w:r w:rsidR="0031545B">
        <w:t xml:space="preserve"> clearing </w:t>
      </w:r>
      <w:r w:rsidR="00493F55">
        <w:t xml:space="preserve">and </w:t>
      </w:r>
      <w:r w:rsidR="0031545B">
        <w:t xml:space="preserve">settlement facility </w:t>
      </w:r>
      <w:r w:rsidR="00493F55">
        <w:t>and a</w:t>
      </w:r>
      <w:r w:rsidR="007470A4">
        <w:t>n applicant for a clearing and settlement facil</w:t>
      </w:r>
      <w:r w:rsidR="00D234B2">
        <w:t>i</w:t>
      </w:r>
      <w:r w:rsidR="007470A4">
        <w:t xml:space="preserve">ty </w:t>
      </w:r>
      <w:r w:rsidR="00C6192F">
        <w:t>s</w:t>
      </w:r>
      <w:r w:rsidR="009464A8">
        <w:t>hall</w:t>
      </w:r>
      <w:r w:rsidR="00A41060" w:rsidRPr="00427166">
        <w:t>—</w:t>
      </w:r>
    </w:p>
    <w:p w14:paraId="48DE5434" w14:textId="2E532566" w:rsidR="00E1748A" w:rsidRDefault="003D4CB8" w:rsidP="00697BA7">
      <w:pPr>
        <w:pStyle w:val="iLAWS310Paragraph"/>
        <w:numPr>
          <w:ilvl w:val="0"/>
          <w:numId w:val="26"/>
        </w:numPr>
      </w:pPr>
      <w:r w:rsidRPr="00D45233">
        <w:t>have a well-founded, clear, transparent, and enforceable legal basis for each material aspect of its activities in all relevant jurisdictions</w:t>
      </w:r>
      <w:r w:rsidR="00E1748A">
        <w:t>;</w:t>
      </w:r>
    </w:p>
    <w:p w14:paraId="41E3B731" w14:textId="6EDB95C1" w:rsidR="00E1748A" w:rsidRDefault="003D4CB8" w:rsidP="00627D7E">
      <w:pPr>
        <w:pStyle w:val="iLAWS310Paragraph"/>
        <w:numPr>
          <w:ilvl w:val="0"/>
          <w:numId w:val="26"/>
        </w:numPr>
      </w:pPr>
      <w:r w:rsidRPr="00D45233">
        <w:t xml:space="preserve">have governance arrangements that are clear and transparent, promote the safety and efficiency of the </w:t>
      </w:r>
      <w:r w:rsidR="002C01D5">
        <w:t xml:space="preserve">clearing and </w:t>
      </w:r>
      <w:r w:rsidR="00883B98">
        <w:t>settlement facil</w:t>
      </w:r>
      <w:r w:rsidR="008661EC">
        <w:t>i</w:t>
      </w:r>
      <w:r w:rsidR="00883B98">
        <w:t>ty</w:t>
      </w:r>
      <w:r w:rsidRPr="00D45233">
        <w:t>, and support the stability of the broader financial system</w:t>
      </w:r>
      <w:r w:rsidR="00E1748A">
        <w:t>;</w:t>
      </w:r>
    </w:p>
    <w:p w14:paraId="57E275AF" w14:textId="77777777" w:rsidR="00E1748A" w:rsidRDefault="003D4CB8" w:rsidP="007E3552">
      <w:pPr>
        <w:pStyle w:val="iLAWS310Paragraph"/>
        <w:numPr>
          <w:ilvl w:val="0"/>
          <w:numId w:val="26"/>
        </w:numPr>
      </w:pPr>
      <w:r w:rsidRPr="00D45233">
        <w:t>have a sound risk-management framework</w:t>
      </w:r>
      <w:r w:rsidR="00E1748A">
        <w:t>;</w:t>
      </w:r>
    </w:p>
    <w:p w14:paraId="37B81129" w14:textId="7898195C" w:rsidR="00E1748A" w:rsidRDefault="003D4CB8" w:rsidP="00CF3AF5">
      <w:pPr>
        <w:pStyle w:val="iLAWS310Paragraph"/>
        <w:numPr>
          <w:ilvl w:val="0"/>
          <w:numId w:val="26"/>
        </w:numPr>
      </w:pPr>
      <w:r w:rsidRPr="00D45233">
        <w:t>effectively measure, monitor, and manage its credit exposures to participants</w:t>
      </w:r>
      <w:r w:rsidR="00160B76">
        <w:t xml:space="preserve"> </w:t>
      </w:r>
      <w:r w:rsidR="00841D0B">
        <w:t>and cover its credit exposures</w:t>
      </w:r>
      <w:r w:rsidR="00E94DEE">
        <w:t xml:space="preserve"> to its participants for all products through an effective margin </w:t>
      </w:r>
      <w:r w:rsidR="00D52A87">
        <w:t xml:space="preserve">system that is risk based and regularly reviewed , accepting </w:t>
      </w:r>
      <w:r w:rsidR="00311108">
        <w:t xml:space="preserve">collateral </w:t>
      </w:r>
      <w:r w:rsidR="00D52A87">
        <w:t>with low risk</w:t>
      </w:r>
      <w:r w:rsidRPr="00D45233">
        <w:t>, and market risks</w:t>
      </w:r>
      <w:r w:rsidR="00E1748A">
        <w:t>;</w:t>
      </w:r>
    </w:p>
    <w:p w14:paraId="0043574E" w14:textId="06113534" w:rsidR="00E1748A" w:rsidRPr="00D45233" w:rsidRDefault="00E1748A" w:rsidP="00E1748A">
      <w:pPr>
        <w:pStyle w:val="iLAWS301Paragraphunnumbered"/>
        <w:numPr>
          <w:ilvl w:val="0"/>
          <w:numId w:val="26"/>
        </w:numPr>
      </w:pPr>
      <w:r w:rsidRPr="00D45233">
        <w:t>effectively measure, monitor, and manage its liquidity risk</w:t>
      </w:r>
      <w:r w:rsidR="00A750B6">
        <w:t>;</w:t>
      </w:r>
    </w:p>
    <w:p w14:paraId="3278E915" w14:textId="7F5465C6" w:rsidR="00E1748A" w:rsidRPr="00D45233" w:rsidRDefault="00E1748A" w:rsidP="00E1748A">
      <w:pPr>
        <w:pStyle w:val="iLAWS301Paragraphunnumbered"/>
        <w:numPr>
          <w:ilvl w:val="0"/>
          <w:numId w:val="26"/>
        </w:numPr>
      </w:pPr>
      <w:r w:rsidRPr="00D45233">
        <w:t>provide clear and certain final settlement, at a minimum by the end of the value date</w:t>
      </w:r>
      <w:r w:rsidR="00A750B6">
        <w:t>;</w:t>
      </w:r>
    </w:p>
    <w:p w14:paraId="6392A8BD" w14:textId="63D1556A" w:rsidR="00E1748A" w:rsidRPr="00D45233" w:rsidRDefault="00E1748A" w:rsidP="00E1748A">
      <w:pPr>
        <w:pStyle w:val="iLAWS301Paragraphunnumbered"/>
        <w:numPr>
          <w:ilvl w:val="0"/>
          <w:numId w:val="26"/>
        </w:numPr>
      </w:pPr>
      <w:r w:rsidRPr="00D45233">
        <w:t>conduct its money settlements in central bank money where practical and available</w:t>
      </w:r>
      <w:r w:rsidR="00A750B6">
        <w:t>;</w:t>
      </w:r>
    </w:p>
    <w:p w14:paraId="0C604849" w14:textId="70C6A057" w:rsidR="00E1748A" w:rsidRDefault="00E1748A" w:rsidP="00E1748A">
      <w:pPr>
        <w:pStyle w:val="iLAWS301Paragraphunnumbered"/>
        <w:numPr>
          <w:ilvl w:val="0"/>
          <w:numId w:val="26"/>
        </w:numPr>
      </w:pPr>
      <w:r w:rsidRPr="00D45233">
        <w:t>clearly state its obligations with respect to the delivery of physical instruments or commodities</w:t>
      </w:r>
      <w:r>
        <w:t>;</w:t>
      </w:r>
    </w:p>
    <w:p w14:paraId="71DA0C3D" w14:textId="77777777" w:rsidR="00091651" w:rsidRDefault="00091651" w:rsidP="00091651">
      <w:pPr>
        <w:pStyle w:val="iLAWS301Paragraphunnumbered"/>
        <w:numPr>
          <w:ilvl w:val="0"/>
          <w:numId w:val="26"/>
        </w:numPr>
        <w:tabs>
          <w:tab w:val="left" w:pos="2410"/>
        </w:tabs>
      </w:pPr>
      <w:r>
        <w:t xml:space="preserve">have appropriate rules and procedures to help the integrity of securities issues and minimise and manage the risks associated with the safekeeping and transfer of securities; </w:t>
      </w:r>
    </w:p>
    <w:p w14:paraId="0A989A6D" w14:textId="07A09E83" w:rsidR="00E1748A" w:rsidRPr="00D45233" w:rsidRDefault="00091651" w:rsidP="00E1748A">
      <w:pPr>
        <w:pStyle w:val="iLAWS301Paragraphunnumbered"/>
        <w:numPr>
          <w:ilvl w:val="0"/>
          <w:numId w:val="26"/>
        </w:numPr>
      </w:pPr>
      <w:r>
        <w:t xml:space="preserve">where it </w:t>
      </w:r>
      <w:r w:rsidR="00E1748A" w:rsidRPr="00D45233">
        <w:t xml:space="preserve">settles transactions that involve the settlement of two linked obligations (for example, securities or foreign exchange transactions), </w:t>
      </w:r>
      <w:r w:rsidR="00E1748A">
        <w:t>e</w:t>
      </w:r>
      <w:r w:rsidR="00E1748A" w:rsidRPr="00D45233">
        <w:t>liminate principal risk</w:t>
      </w:r>
      <w:r w:rsidR="00E1748A">
        <w:t>;</w:t>
      </w:r>
    </w:p>
    <w:p w14:paraId="1B69080A" w14:textId="3071F48D" w:rsidR="00E1748A" w:rsidRPr="00D45233" w:rsidRDefault="00E1748A" w:rsidP="00E1748A">
      <w:pPr>
        <w:pStyle w:val="iLAWS301Paragraphunnumbered"/>
        <w:numPr>
          <w:ilvl w:val="0"/>
          <w:numId w:val="26"/>
        </w:numPr>
      </w:pPr>
      <w:r w:rsidRPr="00D45233">
        <w:t>have effective and clearly defined rules and procedures to manage a participant default</w:t>
      </w:r>
      <w:r w:rsidR="00B52B6D">
        <w:t>;</w:t>
      </w:r>
    </w:p>
    <w:p w14:paraId="510A4E80" w14:textId="77777777" w:rsidR="001F1747" w:rsidRPr="00D45233" w:rsidRDefault="001F1747" w:rsidP="001F1747">
      <w:pPr>
        <w:pStyle w:val="iLAWS301Paragraphunnumbered"/>
        <w:numPr>
          <w:ilvl w:val="0"/>
          <w:numId w:val="26"/>
        </w:numPr>
        <w:tabs>
          <w:tab w:val="left" w:pos="2410"/>
        </w:tabs>
      </w:pPr>
      <w:r w:rsidRPr="00D45233">
        <w:t>have rules and procedures that enable the segregation and portability of positions of a participant’s customers and the collateral</w:t>
      </w:r>
      <w:r>
        <w:t>;</w:t>
      </w:r>
    </w:p>
    <w:p w14:paraId="146144E1" w14:textId="28ECA09A" w:rsidR="00E1748A" w:rsidRPr="00D45233" w:rsidRDefault="00E1748A" w:rsidP="00E1748A">
      <w:pPr>
        <w:pStyle w:val="iLAWS301Paragraphunnumbered"/>
        <w:numPr>
          <w:ilvl w:val="0"/>
          <w:numId w:val="26"/>
        </w:numPr>
      </w:pPr>
      <w:r w:rsidRPr="00D45233">
        <w:t>identify, monitor, and manage its general business risk and hold sufficient liquid net assets funded by equity to cover potential general business losses</w:t>
      </w:r>
      <w:r w:rsidR="00B52B6D">
        <w:t>;</w:t>
      </w:r>
    </w:p>
    <w:p w14:paraId="729C2E0C" w14:textId="6D5AE7EB" w:rsidR="00E1748A" w:rsidRPr="00D45233" w:rsidRDefault="00E1748A" w:rsidP="00E1748A">
      <w:pPr>
        <w:pStyle w:val="iLAWS301Paragraphunnumbered"/>
        <w:numPr>
          <w:ilvl w:val="0"/>
          <w:numId w:val="26"/>
        </w:numPr>
      </w:pPr>
      <w:r w:rsidRPr="00D45233">
        <w:t>safeguard its own and its participants’ assets and minimise the risk of loss on and delay in access to these assets</w:t>
      </w:r>
      <w:r w:rsidR="00B63765">
        <w:t>;</w:t>
      </w:r>
    </w:p>
    <w:p w14:paraId="6C9F790B" w14:textId="41167FB9" w:rsidR="00E1748A" w:rsidRPr="00D45233" w:rsidRDefault="00E1748A" w:rsidP="00E1748A">
      <w:pPr>
        <w:pStyle w:val="iLAWS301Paragraphunnumbered"/>
        <w:numPr>
          <w:ilvl w:val="0"/>
          <w:numId w:val="26"/>
        </w:numPr>
      </w:pPr>
      <w:r w:rsidRPr="00D45233">
        <w:t>identify the plausible sources of operational risk, both internal and external, and mitigate their impact through the use of appropriate systems, policies, procedures, and controls</w:t>
      </w:r>
      <w:r w:rsidR="00C262BE">
        <w:t>;</w:t>
      </w:r>
    </w:p>
    <w:p w14:paraId="3CF39069" w14:textId="53801828" w:rsidR="00E1748A" w:rsidRPr="00D45233" w:rsidRDefault="00E1748A" w:rsidP="00E1748A">
      <w:pPr>
        <w:pStyle w:val="iLAWS301Paragraphunnumbered"/>
        <w:numPr>
          <w:ilvl w:val="0"/>
          <w:numId w:val="26"/>
        </w:numPr>
      </w:pPr>
      <w:r w:rsidRPr="00D45233">
        <w:t>have objective, risk-based, and publicly disclosed criteria for participation, which permit fair and open access</w:t>
      </w:r>
      <w:r w:rsidR="00B63765">
        <w:t>;</w:t>
      </w:r>
    </w:p>
    <w:p w14:paraId="4D225E88" w14:textId="500E27DB" w:rsidR="00E1748A" w:rsidRPr="00D45233" w:rsidRDefault="00E1748A" w:rsidP="00EF4568">
      <w:pPr>
        <w:pStyle w:val="iLAWS301Paragraphunnumbered"/>
        <w:numPr>
          <w:ilvl w:val="0"/>
          <w:numId w:val="26"/>
        </w:numPr>
      </w:pPr>
      <w:r w:rsidRPr="00D45233">
        <w:t xml:space="preserve">identify, monitor, and manage </w:t>
      </w:r>
      <w:r w:rsidR="00A0136A">
        <w:t>link-related risks with other clearing and settlem</w:t>
      </w:r>
      <w:r w:rsidR="008856D0">
        <w:t xml:space="preserve">ent facilities; </w:t>
      </w:r>
    </w:p>
    <w:p w14:paraId="3A91684A" w14:textId="2B6A3470" w:rsidR="00E1748A" w:rsidRPr="00D45233" w:rsidRDefault="00E1748A" w:rsidP="00E1748A">
      <w:pPr>
        <w:pStyle w:val="iLAWS301Paragraphunnumbered"/>
        <w:numPr>
          <w:ilvl w:val="0"/>
          <w:numId w:val="26"/>
        </w:numPr>
      </w:pPr>
      <w:r w:rsidRPr="00D45233">
        <w:t>be efficient and effective in meeting the requirements of its participants and the markets it serves</w:t>
      </w:r>
      <w:r w:rsidR="00B63765">
        <w:t>;</w:t>
      </w:r>
    </w:p>
    <w:p w14:paraId="775AB366" w14:textId="47147B82" w:rsidR="00E1748A" w:rsidRPr="00D45233" w:rsidRDefault="00E1748A" w:rsidP="00E1748A">
      <w:pPr>
        <w:pStyle w:val="iLAWS301Paragraphunnumbered"/>
        <w:numPr>
          <w:ilvl w:val="0"/>
          <w:numId w:val="26"/>
        </w:numPr>
      </w:pPr>
      <w:r w:rsidRPr="00D45233">
        <w:t>use, or at a minimum accommodate, relevant internationally accepted communication procedures and standards</w:t>
      </w:r>
      <w:r w:rsidR="00B63765">
        <w:t>;</w:t>
      </w:r>
    </w:p>
    <w:p w14:paraId="7F7BECB7" w14:textId="71BF1C68" w:rsidR="00085423" w:rsidRDefault="00E1748A" w:rsidP="00085423">
      <w:pPr>
        <w:pStyle w:val="iLAWS301Paragraphunnumbered"/>
        <w:numPr>
          <w:ilvl w:val="0"/>
          <w:numId w:val="26"/>
        </w:numPr>
      </w:pPr>
      <w:r w:rsidRPr="00D45233">
        <w:t>have clear and comprehensive rules and procedures and should provide sufficient information to enable participants to have an accurate understanding of the risks, fees, and other material costs they incur</w:t>
      </w:r>
      <w:r w:rsidR="00085423">
        <w:t>;</w:t>
      </w:r>
    </w:p>
    <w:p w14:paraId="56C73074" w14:textId="6AAB7B76" w:rsidR="00A53675" w:rsidRDefault="00085423" w:rsidP="00085423">
      <w:pPr>
        <w:pStyle w:val="iLAWS301Paragraphunnumbered"/>
        <w:numPr>
          <w:ilvl w:val="0"/>
          <w:numId w:val="26"/>
        </w:numPr>
        <w:tabs>
          <w:tab w:val="left" w:pos="1134"/>
        </w:tabs>
      </w:pPr>
      <w:r>
        <w:t xml:space="preserve">where acts as a trade repository, </w:t>
      </w:r>
      <w:r w:rsidR="00A53675" w:rsidRPr="00D45233">
        <w:t>provide timely and accurate data to relevant authorities and the public in line with their respective needs</w:t>
      </w:r>
      <w:r w:rsidR="00A53675">
        <w:t>.</w:t>
      </w:r>
      <w:r w:rsidR="00592D7C">
        <w:t>”.</w:t>
      </w:r>
    </w:p>
    <w:p w14:paraId="48B78C8F" w14:textId="3AEE5950" w:rsidR="00BA2BAF" w:rsidRPr="00441EF3" w:rsidRDefault="009F542E" w:rsidP="00BA2BAF">
      <w:pPr>
        <w:pStyle w:val="iLAWS300Article"/>
        <w:rPr>
          <w:rFonts w:ascii="Arial" w:hAnsi="Arial" w:cs="Arial"/>
        </w:rPr>
      </w:pPr>
      <w:bookmarkStart w:id="18" w:name="_Toc151283273"/>
      <w:r>
        <w:rPr>
          <w:rFonts w:ascii="Arial" w:eastAsia="Arial" w:hAnsi="Arial" w:cs="Arial"/>
        </w:rPr>
        <w:t>6</w:t>
      </w:r>
      <w:r w:rsidR="00BA2BAF" w:rsidRPr="00441EF3">
        <w:rPr>
          <w:rFonts w:ascii="Arial" w:eastAsia="Arial" w:hAnsi="Arial" w:cs="Arial"/>
        </w:rPr>
        <w:tab/>
        <w:t xml:space="preserve">Section </w:t>
      </w:r>
      <w:r w:rsidR="00BA2BAF">
        <w:rPr>
          <w:rFonts w:ascii="Arial" w:eastAsia="Arial" w:hAnsi="Arial" w:cs="Arial"/>
        </w:rPr>
        <w:t>12</w:t>
      </w:r>
      <w:r w:rsidR="00BA2BAF" w:rsidRPr="00441EF3">
        <w:rPr>
          <w:rFonts w:ascii="Arial" w:eastAsia="Arial" w:hAnsi="Arial" w:cs="Arial"/>
        </w:rPr>
        <w:t xml:space="preserve"> of the principal Act amended</w:t>
      </w:r>
      <w:bookmarkEnd w:id="18"/>
    </w:p>
    <w:p w14:paraId="32BD4DE6" w14:textId="55017A8F" w:rsidR="00B66184" w:rsidRDefault="00B66184" w:rsidP="00BA2BAF">
      <w:pPr>
        <w:spacing w:before="240" w:after="120" w:line="247" w:lineRule="auto"/>
        <w:ind w:left="567" w:right="1168" w:firstLine="0"/>
        <w:rPr>
          <w:rFonts w:eastAsia="Calibri"/>
        </w:rPr>
      </w:pPr>
      <w:r>
        <w:rPr>
          <w:rFonts w:eastAsia="Calibri"/>
        </w:rPr>
        <w:t>Section 12 of the principal Act is amended in subsection (2)</w:t>
      </w:r>
      <w:r w:rsidRPr="001A1D25">
        <w:rPr>
          <w:rFonts w:eastAsia="Calibri"/>
        </w:rPr>
        <w:t>—</w:t>
      </w:r>
    </w:p>
    <w:p w14:paraId="23623112" w14:textId="51340DC7" w:rsidR="00B66184" w:rsidRDefault="00B66184" w:rsidP="00B66184">
      <w:pPr>
        <w:tabs>
          <w:tab w:val="left" w:pos="1134"/>
        </w:tabs>
        <w:ind w:left="567" w:firstLine="0"/>
        <w:rPr>
          <w:rFonts w:eastAsia="Calibri"/>
        </w:rPr>
      </w:pPr>
      <w:r>
        <w:rPr>
          <w:rFonts w:eastAsia="Calibri"/>
        </w:rPr>
        <w:t>(a)</w:t>
      </w:r>
      <w:r>
        <w:rPr>
          <w:rFonts w:eastAsia="Calibri"/>
        </w:rPr>
        <w:tab/>
        <w:t>by repealing paragraph (a) and replacing it by the following</w:t>
      </w:r>
      <w:bookmarkStart w:id="19" w:name="_Hlk136217573"/>
      <w:r w:rsidRPr="001A1D25">
        <w:rPr>
          <w:rFonts w:eastAsia="Calibri"/>
        </w:rPr>
        <w:t xml:space="preserve"> </w:t>
      </w:r>
      <w:r>
        <w:rPr>
          <w:rFonts w:eastAsia="Calibri"/>
        </w:rPr>
        <w:t>paragraph</w:t>
      </w:r>
      <w:r w:rsidRPr="001A1D25">
        <w:rPr>
          <w:rFonts w:eastAsia="Calibri"/>
        </w:rPr>
        <w:t>—</w:t>
      </w:r>
      <w:bookmarkEnd w:id="19"/>
    </w:p>
    <w:p w14:paraId="09014214" w14:textId="1AF52A02" w:rsidR="00B66184" w:rsidRDefault="00B66184" w:rsidP="00B66184">
      <w:pPr>
        <w:pStyle w:val="TableParagraph"/>
        <w:spacing w:before="120" w:after="120"/>
        <w:ind w:left="1701" w:right="533" w:hanging="567"/>
        <w:jc w:val="both"/>
      </w:pPr>
      <w:r w:rsidRPr="001A1D25">
        <w:t>“(a)</w:t>
      </w:r>
      <w:r w:rsidRPr="001A1D25">
        <w:tab/>
        <w:t xml:space="preserve">the applicant </w:t>
      </w:r>
      <w:r w:rsidR="004762B1">
        <w:t xml:space="preserve">has </w:t>
      </w:r>
      <w:r w:rsidRPr="001A1D25">
        <w:t>operating rules and procedures adequate to reduce systemic risk and to ensure, as far as is reasonably practicable, that the market will operate fairly, transparently</w:t>
      </w:r>
      <w:r w:rsidRPr="001A1D25">
        <w:rPr>
          <w:sz w:val="24"/>
        </w:rPr>
        <w:t>, effectively, efficiently</w:t>
      </w:r>
      <w:r w:rsidRPr="001A1D25">
        <w:t xml:space="preserve"> and in an orderly way;”</w:t>
      </w:r>
      <w:r>
        <w:t xml:space="preserve">; </w:t>
      </w:r>
    </w:p>
    <w:p w14:paraId="1050B822" w14:textId="6301A56C" w:rsidR="00B66184" w:rsidRDefault="00B66184" w:rsidP="00B66184">
      <w:pPr>
        <w:pStyle w:val="TableParagraph"/>
        <w:spacing w:before="120" w:after="120"/>
        <w:ind w:left="1134" w:right="533" w:hanging="567"/>
        <w:jc w:val="both"/>
      </w:pPr>
      <w:r>
        <w:t>(b)</w:t>
      </w:r>
      <w:r>
        <w:tab/>
        <w:t>by inserting after paragraph (b)(iii) the following subparagraph</w:t>
      </w:r>
      <w:r w:rsidRPr="001A1D25">
        <w:rPr>
          <w:rFonts w:eastAsia="Calibri"/>
        </w:rPr>
        <w:t>—</w:t>
      </w:r>
    </w:p>
    <w:p w14:paraId="03B4B30B" w14:textId="77777777" w:rsidR="00B66184" w:rsidRPr="00965C9D" w:rsidRDefault="00B66184" w:rsidP="00B66184">
      <w:pPr>
        <w:pStyle w:val="TableParagraph"/>
        <w:spacing w:before="120" w:after="120"/>
        <w:ind w:left="1134" w:right="533"/>
        <w:jc w:val="both"/>
      </w:pPr>
      <w:r>
        <w:t>“(iv)</w:t>
      </w:r>
      <w:r>
        <w:tab/>
      </w:r>
      <w:r w:rsidRPr="00965C9D">
        <w:t>order execution and trade matching algorithms.</w:t>
      </w:r>
      <w:r>
        <w:t>”.</w:t>
      </w:r>
    </w:p>
    <w:p w14:paraId="2CA3E177" w14:textId="0E686554" w:rsidR="00BA2BAF" w:rsidRPr="00441EF3" w:rsidRDefault="009F542E" w:rsidP="00BA2BAF">
      <w:pPr>
        <w:pStyle w:val="iLAWS300Article"/>
        <w:rPr>
          <w:rFonts w:ascii="Arial" w:hAnsi="Arial" w:cs="Arial"/>
        </w:rPr>
      </w:pPr>
      <w:bookmarkStart w:id="20" w:name="_Toc151283274"/>
      <w:bookmarkStart w:id="21" w:name="_Hlk132049917"/>
      <w:r>
        <w:rPr>
          <w:rFonts w:ascii="Arial" w:eastAsia="Arial" w:hAnsi="Arial" w:cs="Arial"/>
        </w:rPr>
        <w:t>7</w:t>
      </w:r>
      <w:r w:rsidR="00BA2BAF" w:rsidRPr="00441EF3">
        <w:rPr>
          <w:rFonts w:ascii="Arial" w:eastAsia="Arial" w:hAnsi="Arial" w:cs="Arial"/>
        </w:rPr>
        <w:tab/>
        <w:t xml:space="preserve">Section </w:t>
      </w:r>
      <w:r w:rsidR="00BA2BAF">
        <w:rPr>
          <w:rFonts w:ascii="Arial" w:eastAsia="Arial" w:hAnsi="Arial" w:cs="Arial"/>
        </w:rPr>
        <w:t>13</w:t>
      </w:r>
      <w:r w:rsidR="00BA2BAF" w:rsidRPr="00441EF3">
        <w:rPr>
          <w:rFonts w:ascii="Arial" w:eastAsia="Arial" w:hAnsi="Arial" w:cs="Arial"/>
        </w:rPr>
        <w:t xml:space="preserve"> of the principal Act amended</w:t>
      </w:r>
      <w:bookmarkEnd w:id="20"/>
    </w:p>
    <w:p w14:paraId="2D44E0C1" w14:textId="71B6A53A" w:rsidR="001B7F60" w:rsidRDefault="00BA2BAF" w:rsidP="00BA2BAF">
      <w:pPr>
        <w:spacing w:before="240" w:after="120" w:line="247" w:lineRule="auto"/>
        <w:ind w:left="567" w:right="1168" w:firstLine="0"/>
        <w:rPr>
          <w:rFonts w:eastAsia="Calibri"/>
        </w:rPr>
      </w:pPr>
      <w:r>
        <w:rPr>
          <w:rFonts w:eastAsia="Calibri"/>
        </w:rPr>
        <w:t>S</w:t>
      </w:r>
      <w:r w:rsidR="00020F3C">
        <w:rPr>
          <w:rFonts w:eastAsia="Calibri"/>
        </w:rPr>
        <w:t>ection 13 of the principal Act is amended</w:t>
      </w:r>
      <w:bookmarkStart w:id="22" w:name="_Hlk136218784"/>
      <w:r w:rsidR="0041457B" w:rsidRPr="001A1D25">
        <w:rPr>
          <w:rFonts w:eastAsia="Calibri"/>
        </w:rPr>
        <w:t>—</w:t>
      </w:r>
      <w:bookmarkEnd w:id="22"/>
    </w:p>
    <w:p w14:paraId="6DB9DF3C" w14:textId="61B1C40C" w:rsidR="007F0C99" w:rsidRDefault="007D2D9A" w:rsidP="007D2D9A">
      <w:pPr>
        <w:tabs>
          <w:tab w:val="left" w:pos="1134"/>
        </w:tabs>
        <w:ind w:left="567" w:firstLine="0"/>
        <w:rPr>
          <w:rFonts w:eastAsia="Calibri"/>
        </w:rPr>
      </w:pPr>
      <w:r>
        <w:rPr>
          <w:rFonts w:eastAsia="Calibri"/>
        </w:rPr>
        <w:t>(a)</w:t>
      </w:r>
      <w:r>
        <w:rPr>
          <w:rFonts w:eastAsia="Calibri"/>
        </w:rPr>
        <w:tab/>
      </w:r>
      <w:r w:rsidR="007F0C99">
        <w:rPr>
          <w:rFonts w:eastAsia="Calibri"/>
        </w:rPr>
        <w:t>i</w:t>
      </w:r>
      <w:r w:rsidR="001B7F60">
        <w:rPr>
          <w:rFonts w:eastAsia="Calibri"/>
        </w:rPr>
        <w:t xml:space="preserve">n </w:t>
      </w:r>
      <w:r w:rsidR="002E013E">
        <w:rPr>
          <w:rFonts w:eastAsia="Calibri"/>
        </w:rPr>
        <w:t xml:space="preserve">subsection </w:t>
      </w:r>
      <w:r w:rsidR="001B7F60">
        <w:rPr>
          <w:rFonts w:eastAsia="Calibri"/>
        </w:rPr>
        <w:t>(1)</w:t>
      </w:r>
      <w:r w:rsidR="007736F3">
        <w:rPr>
          <w:rFonts w:eastAsia="Calibri"/>
        </w:rPr>
        <w:t>,</w:t>
      </w:r>
      <w:r w:rsidR="001B7F60">
        <w:rPr>
          <w:rFonts w:eastAsia="Calibri"/>
        </w:rPr>
        <w:t xml:space="preserve"> b</w:t>
      </w:r>
      <w:r w:rsidR="00020F3C">
        <w:rPr>
          <w:rFonts w:eastAsia="Calibri"/>
        </w:rPr>
        <w:t xml:space="preserve">y </w:t>
      </w:r>
      <w:bookmarkStart w:id="23" w:name="_Hlk136216600"/>
      <w:r w:rsidR="00020F3C">
        <w:rPr>
          <w:rFonts w:eastAsia="Calibri"/>
        </w:rPr>
        <w:t xml:space="preserve">deleting </w:t>
      </w:r>
      <w:r w:rsidR="001B7F60">
        <w:rPr>
          <w:rFonts w:eastAsia="Calibri"/>
        </w:rPr>
        <w:t xml:space="preserve">the word “may” and </w:t>
      </w:r>
      <w:r w:rsidR="00A431E1">
        <w:rPr>
          <w:rFonts w:eastAsia="Calibri"/>
        </w:rPr>
        <w:t xml:space="preserve">replacing it </w:t>
      </w:r>
      <w:r w:rsidR="00DF0D4C">
        <w:rPr>
          <w:rFonts w:eastAsia="Calibri"/>
        </w:rPr>
        <w:t>by</w:t>
      </w:r>
      <w:r w:rsidR="00A431E1">
        <w:rPr>
          <w:rFonts w:eastAsia="Calibri"/>
        </w:rPr>
        <w:t xml:space="preserve"> </w:t>
      </w:r>
      <w:r w:rsidR="001B7F60">
        <w:rPr>
          <w:rFonts w:eastAsia="Calibri"/>
        </w:rPr>
        <w:t xml:space="preserve">the word </w:t>
      </w:r>
      <w:r w:rsidR="007F0C99">
        <w:rPr>
          <w:rFonts w:eastAsia="Calibri"/>
        </w:rPr>
        <w:t>“shall”;</w:t>
      </w:r>
      <w:bookmarkEnd w:id="23"/>
      <w:r w:rsidR="007F0C99">
        <w:rPr>
          <w:rFonts w:eastAsia="Calibri"/>
        </w:rPr>
        <w:t xml:space="preserve"> </w:t>
      </w:r>
    </w:p>
    <w:p w14:paraId="1173ACE7" w14:textId="06ED91DE" w:rsidR="00020F3C" w:rsidRDefault="007D2D9A" w:rsidP="00573D66">
      <w:pPr>
        <w:tabs>
          <w:tab w:val="left" w:pos="1134"/>
        </w:tabs>
        <w:ind w:left="567" w:firstLine="0"/>
        <w:rPr>
          <w:rFonts w:eastAsia="Calibri"/>
        </w:rPr>
      </w:pPr>
      <w:r>
        <w:rPr>
          <w:rFonts w:eastAsia="Calibri"/>
        </w:rPr>
        <w:t>(b)</w:t>
      </w:r>
      <w:r>
        <w:rPr>
          <w:rFonts w:eastAsia="Calibri"/>
        </w:rPr>
        <w:tab/>
        <w:t xml:space="preserve">in </w:t>
      </w:r>
      <w:r w:rsidR="002E013E">
        <w:rPr>
          <w:rFonts w:eastAsia="Calibri"/>
        </w:rPr>
        <w:t xml:space="preserve">subsection </w:t>
      </w:r>
      <w:r>
        <w:rPr>
          <w:rFonts w:eastAsia="Calibri"/>
        </w:rPr>
        <w:t>(2)</w:t>
      </w:r>
      <w:r w:rsidR="00EA44F7">
        <w:rPr>
          <w:rFonts w:eastAsia="Calibri"/>
        </w:rPr>
        <w:t>,</w:t>
      </w:r>
      <w:r>
        <w:rPr>
          <w:rFonts w:eastAsia="Calibri"/>
        </w:rPr>
        <w:t xml:space="preserve"> by</w:t>
      </w:r>
      <w:r w:rsidR="0041457B" w:rsidRPr="001A1D25">
        <w:rPr>
          <w:rFonts w:eastAsia="Calibri"/>
        </w:rPr>
        <w:t>—</w:t>
      </w:r>
    </w:p>
    <w:p w14:paraId="08A52D2C" w14:textId="64A9274C" w:rsidR="00573D66" w:rsidRPr="00F27C15" w:rsidRDefault="00F27C15" w:rsidP="00F27C15">
      <w:pPr>
        <w:tabs>
          <w:tab w:val="left" w:pos="1134"/>
          <w:tab w:val="left" w:pos="1701"/>
        </w:tabs>
        <w:ind w:firstLine="1126"/>
        <w:rPr>
          <w:rFonts w:eastAsia="Calibri"/>
        </w:rPr>
      </w:pPr>
      <w:r>
        <w:rPr>
          <w:rFonts w:eastAsia="Calibri"/>
        </w:rPr>
        <w:t>(i)</w:t>
      </w:r>
      <w:r>
        <w:rPr>
          <w:rFonts w:eastAsia="Calibri"/>
        </w:rPr>
        <w:tab/>
      </w:r>
      <w:r w:rsidR="00573D66" w:rsidRPr="00F27C15">
        <w:rPr>
          <w:rFonts w:eastAsia="Calibri"/>
        </w:rPr>
        <w:t xml:space="preserve">deleting the word “may” and </w:t>
      </w:r>
      <w:r w:rsidR="00EA44F7" w:rsidRPr="00F27C15">
        <w:rPr>
          <w:rFonts w:eastAsia="Calibri"/>
        </w:rPr>
        <w:t xml:space="preserve">replacing it by </w:t>
      </w:r>
      <w:r w:rsidR="00573D66" w:rsidRPr="00F27C15">
        <w:rPr>
          <w:rFonts w:eastAsia="Calibri"/>
        </w:rPr>
        <w:t>the word “shall”;</w:t>
      </w:r>
    </w:p>
    <w:p w14:paraId="560260A2" w14:textId="33773CC7" w:rsidR="008D5506" w:rsidRPr="00F27C15" w:rsidRDefault="00F27C15" w:rsidP="00F27C15">
      <w:pPr>
        <w:tabs>
          <w:tab w:val="left" w:pos="1134"/>
        </w:tabs>
        <w:ind w:left="1701" w:hanging="567"/>
        <w:rPr>
          <w:rFonts w:eastAsia="Calibri"/>
        </w:rPr>
      </w:pPr>
      <w:r>
        <w:rPr>
          <w:rFonts w:eastAsia="Calibri"/>
        </w:rPr>
        <w:t>(ii)</w:t>
      </w:r>
      <w:r>
        <w:rPr>
          <w:rFonts w:eastAsia="Calibri"/>
        </w:rPr>
        <w:tab/>
      </w:r>
      <w:r w:rsidR="0075226F" w:rsidRPr="00F27C15">
        <w:rPr>
          <w:rFonts w:eastAsia="Calibri"/>
        </w:rPr>
        <w:t>inserting after paragraph (b) the following paragraph</w:t>
      </w:r>
      <w:r w:rsidR="008C65F2">
        <w:rPr>
          <w:rFonts w:eastAsia="Calibri"/>
        </w:rPr>
        <w:t>s</w:t>
      </w:r>
      <w:r w:rsidR="0075226F" w:rsidRPr="00F27C15">
        <w:rPr>
          <w:rFonts w:eastAsia="Calibri"/>
        </w:rPr>
        <w:t xml:space="preserve"> </w:t>
      </w:r>
      <w:r w:rsidR="00191E86" w:rsidRPr="00F27C15">
        <w:rPr>
          <w:rFonts w:eastAsia="Calibri"/>
        </w:rPr>
        <w:t>—</w:t>
      </w:r>
    </w:p>
    <w:p w14:paraId="34E50E5A" w14:textId="77777777" w:rsidR="009A5E89" w:rsidRDefault="0075226F" w:rsidP="009A5E89">
      <w:pPr>
        <w:tabs>
          <w:tab w:val="left" w:pos="1134"/>
        </w:tabs>
        <w:ind w:left="2268" w:hanging="567"/>
        <w:rPr>
          <w:rFonts w:eastAsia="Calibri"/>
        </w:rPr>
      </w:pPr>
      <w:r>
        <w:rPr>
          <w:rFonts w:eastAsia="Calibri"/>
        </w:rPr>
        <w:t>“</w:t>
      </w:r>
      <w:r w:rsidR="00191E86">
        <w:rPr>
          <w:rFonts w:eastAsia="Calibri"/>
        </w:rPr>
        <w:t>(ba)</w:t>
      </w:r>
      <w:r w:rsidR="00191E86">
        <w:rPr>
          <w:rFonts w:eastAsia="Calibri"/>
        </w:rPr>
        <w:tab/>
      </w:r>
      <w:r w:rsidR="00191E86" w:rsidRPr="00191E86">
        <w:rPr>
          <w:rFonts w:eastAsia="Calibri"/>
        </w:rPr>
        <w:t>the terms and conditions for participation of members of the securities exchange</w:t>
      </w:r>
      <w:r w:rsidR="00F34456">
        <w:rPr>
          <w:rFonts w:eastAsia="Calibri"/>
        </w:rPr>
        <w:t>;</w:t>
      </w:r>
    </w:p>
    <w:p w14:paraId="76D0FD99" w14:textId="053C0E0C" w:rsidR="009A5E89" w:rsidRDefault="009A5E89" w:rsidP="00F638DB">
      <w:pPr>
        <w:pStyle w:val="TableParagraph"/>
        <w:ind w:left="2268" w:hanging="567"/>
      </w:pPr>
      <w:r>
        <w:rPr>
          <w:rFonts w:eastAsia="Calibri"/>
        </w:rPr>
        <w:t>(bb)</w:t>
      </w:r>
      <w:r>
        <w:rPr>
          <w:rFonts w:eastAsia="Calibri"/>
        </w:rPr>
        <w:tab/>
      </w:r>
      <w:r w:rsidRPr="009A5E89">
        <w:t xml:space="preserve">shareholding and voting rights in the </w:t>
      </w:r>
      <w:r>
        <w:t xml:space="preserve">securities exchange in </w:t>
      </w:r>
      <w:r w:rsidRPr="009A5E89">
        <w:t xml:space="preserve">the interests of the members of </w:t>
      </w:r>
      <w:r>
        <w:t>the securities exchange</w:t>
      </w:r>
      <w:r w:rsidRPr="009A5E89">
        <w:t>, the consumers, investors and the users of their services;</w:t>
      </w:r>
    </w:p>
    <w:p w14:paraId="4B53A93E" w14:textId="5423C75A" w:rsidR="009A5E89" w:rsidRPr="00191E86" w:rsidRDefault="009A5E89" w:rsidP="009A5E89">
      <w:pPr>
        <w:tabs>
          <w:tab w:val="left" w:pos="1134"/>
        </w:tabs>
        <w:ind w:left="1843" w:hanging="142"/>
        <w:rPr>
          <w:rFonts w:eastAsia="Calibri"/>
        </w:rPr>
      </w:pPr>
      <w:r>
        <w:rPr>
          <w:rFonts w:eastAsia="Calibri"/>
        </w:rPr>
        <w:t>(</w:t>
      </w:r>
      <w:r w:rsidR="002401F7">
        <w:rPr>
          <w:rFonts w:eastAsia="Calibri"/>
        </w:rPr>
        <w:t>bc)</w:t>
      </w:r>
      <w:r w:rsidR="002401F7">
        <w:rPr>
          <w:rFonts w:eastAsia="Calibri"/>
        </w:rPr>
        <w:tab/>
      </w:r>
      <w:r w:rsidRPr="009A5E89">
        <w:rPr>
          <w:rFonts w:eastAsia="Calibri"/>
        </w:rPr>
        <w:t>promoting investors protection and market integrity</w:t>
      </w:r>
      <w:r w:rsidR="002401F7">
        <w:rPr>
          <w:rFonts w:eastAsia="Calibri"/>
        </w:rPr>
        <w:t>.</w:t>
      </w:r>
      <w:r w:rsidRPr="009A5E89">
        <w:rPr>
          <w:rFonts w:eastAsia="Calibri"/>
        </w:rPr>
        <w:t xml:space="preserve"> </w:t>
      </w:r>
      <w:r w:rsidR="000B4DB6">
        <w:rPr>
          <w:rFonts w:eastAsia="Calibri"/>
        </w:rPr>
        <w:t>“.</w:t>
      </w:r>
    </w:p>
    <w:p w14:paraId="68ACAAD5" w14:textId="0698C5DD" w:rsidR="00573D66" w:rsidRPr="00F27C15" w:rsidRDefault="00F27C15" w:rsidP="00F27C15">
      <w:pPr>
        <w:tabs>
          <w:tab w:val="left" w:pos="1134"/>
          <w:tab w:val="left" w:pos="1701"/>
        </w:tabs>
        <w:ind w:left="1134" w:firstLine="0"/>
        <w:rPr>
          <w:rFonts w:eastAsia="Calibri"/>
        </w:rPr>
      </w:pPr>
      <w:r>
        <w:rPr>
          <w:rFonts w:eastAsia="Calibri"/>
        </w:rPr>
        <w:t>(iii)</w:t>
      </w:r>
      <w:r>
        <w:rPr>
          <w:rFonts w:eastAsia="Calibri"/>
        </w:rPr>
        <w:tab/>
      </w:r>
      <w:r w:rsidR="004A10BE" w:rsidRPr="00F27C15">
        <w:rPr>
          <w:rFonts w:eastAsia="Calibri"/>
        </w:rPr>
        <w:t xml:space="preserve">inserting after </w:t>
      </w:r>
      <w:r w:rsidR="002E013E" w:rsidRPr="00F27C15">
        <w:rPr>
          <w:rFonts w:eastAsia="Calibri"/>
        </w:rPr>
        <w:t>paragraph (fa) the following paragraph</w:t>
      </w:r>
      <w:r w:rsidR="00191E86" w:rsidRPr="00F27C15">
        <w:rPr>
          <w:rFonts w:eastAsia="Calibri"/>
        </w:rPr>
        <w:t xml:space="preserve"> —</w:t>
      </w:r>
    </w:p>
    <w:p w14:paraId="22E3A9EA" w14:textId="293A86F7" w:rsidR="00F17E03" w:rsidRPr="00F17E03" w:rsidRDefault="00F17E03" w:rsidP="00F27C15">
      <w:pPr>
        <w:spacing w:after="120"/>
        <w:ind w:left="2268" w:right="576" w:hanging="567"/>
      </w:pPr>
      <w:r>
        <w:t>“</w:t>
      </w:r>
      <w:r w:rsidRPr="00F17E03">
        <w:t>(fb)</w:t>
      </w:r>
      <w:r w:rsidRPr="00F17E03">
        <w:tab/>
        <w:t>procedures, rules and conditions for order execution and trade matching algorithms of the securities exchange</w:t>
      </w:r>
      <w:r w:rsidR="00A0361E">
        <w:t>;”.</w:t>
      </w:r>
    </w:p>
    <w:p w14:paraId="57C0B529" w14:textId="7059641C" w:rsidR="00BA2BAF" w:rsidRPr="00441EF3" w:rsidRDefault="009F542E" w:rsidP="00BA2BAF">
      <w:pPr>
        <w:pStyle w:val="iLAWS300Article"/>
        <w:rPr>
          <w:rFonts w:ascii="Arial" w:hAnsi="Arial" w:cs="Arial"/>
        </w:rPr>
      </w:pPr>
      <w:bookmarkStart w:id="24" w:name="_Toc151283275"/>
      <w:bookmarkStart w:id="25" w:name="_Hlk133979480"/>
      <w:bookmarkEnd w:id="21"/>
      <w:r>
        <w:rPr>
          <w:rFonts w:ascii="Arial" w:eastAsia="Arial" w:hAnsi="Arial" w:cs="Arial"/>
        </w:rPr>
        <w:t>8</w:t>
      </w:r>
      <w:r w:rsidR="00BA2BAF" w:rsidRPr="00441EF3">
        <w:rPr>
          <w:rFonts w:ascii="Arial" w:eastAsia="Arial" w:hAnsi="Arial" w:cs="Arial"/>
        </w:rPr>
        <w:tab/>
        <w:t xml:space="preserve">Section </w:t>
      </w:r>
      <w:r w:rsidR="00BA2BAF">
        <w:rPr>
          <w:rFonts w:ascii="Arial" w:eastAsia="Arial" w:hAnsi="Arial" w:cs="Arial"/>
        </w:rPr>
        <w:t>17</w:t>
      </w:r>
      <w:r w:rsidR="00BA2BAF" w:rsidRPr="00441EF3">
        <w:rPr>
          <w:rFonts w:ascii="Arial" w:eastAsia="Arial" w:hAnsi="Arial" w:cs="Arial"/>
        </w:rPr>
        <w:t xml:space="preserve"> of the principal Act amended</w:t>
      </w:r>
      <w:bookmarkEnd w:id="24"/>
    </w:p>
    <w:p w14:paraId="1E5FBA6C" w14:textId="0BEAAE08" w:rsidR="00BD2336" w:rsidRDefault="00835A01" w:rsidP="00BA2BAF">
      <w:pPr>
        <w:spacing w:before="240" w:after="120" w:line="247" w:lineRule="auto"/>
        <w:ind w:left="567" w:right="1185" w:firstLine="0"/>
      </w:pPr>
      <w:r>
        <w:t>Section 17 of the principal Act is amended by inserting after subsection (2) the following subsection—</w:t>
      </w:r>
    </w:p>
    <w:bookmarkEnd w:id="25"/>
    <w:p w14:paraId="4F54ADD2" w14:textId="333AC1DB" w:rsidR="00651F24" w:rsidRDefault="00651F24" w:rsidP="00041216">
      <w:pPr>
        <w:spacing w:after="301"/>
        <w:ind w:left="1701" w:right="819" w:hanging="567"/>
      </w:pPr>
      <w:r>
        <w:t>“(2A)</w:t>
      </w:r>
      <w:r>
        <w:tab/>
      </w:r>
      <w:r w:rsidRPr="00651F24">
        <w:t xml:space="preserve">A securities exchange shall keep a log of its trading activities (“trading logs”) which shall enable prompt reconstruction of the trading activities of the securities exchange </w:t>
      </w:r>
      <w:r w:rsidR="00591124">
        <w:t xml:space="preserve">by </w:t>
      </w:r>
      <w:r w:rsidRPr="00651F24">
        <w:t>the Commission where necessary.</w:t>
      </w:r>
      <w:r>
        <w:t>”</w:t>
      </w:r>
      <w:r w:rsidR="009243B9">
        <w:t>.</w:t>
      </w:r>
    </w:p>
    <w:p w14:paraId="2960931C" w14:textId="4B6E6937" w:rsidR="00BA2BAF" w:rsidRPr="00441EF3" w:rsidRDefault="009F542E" w:rsidP="00BA2BAF">
      <w:pPr>
        <w:pStyle w:val="iLAWS300Article"/>
        <w:rPr>
          <w:rFonts w:ascii="Arial" w:hAnsi="Arial" w:cs="Arial"/>
        </w:rPr>
      </w:pPr>
      <w:bookmarkStart w:id="26" w:name="_Toc151283276"/>
      <w:bookmarkStart w:id="27" w:name="_Hlk144660510"/>
      <w:r>
        <w:rPr>
          <w:rFonts w:ascii="Arial" w:eastAsia="Arial" w:hAnsi="Arial" w:cs="Arial"/>
        </w:rPr>
        <w:t>9</w:t>
      </w:r>
      <w:r w:rsidR="00BA2BAF" w:rsidRPr="00441EF3">
        <w:rPr>
          <w:rFonts w:ascii="Arial" w:eastAsia="Arial" w:hAnsi="Arial" w:cs="Arial"/>
        </w:rPr>
        <w:tab/>
        <w:t xml:space="preserve">Section </w:t>
      </w:r>
      <w:r w:rsidR="00BA2BAF">
        <w:rPr>
          <w:rFonts w:ascii="Arial" w:eastAsia="Arial" w:hAnsi="Arial" w:cs="Arial"/>
        </w:rPr>
        <w:t>24</w:t>
      </w:r>
      <w:r w:rsidR="00BA2BAF" w:rsidRPr="00441EF3">
        <w:rPr>
          <w:rFonts w:ascii="Arial" w:eastAsia="Arial" w:hAnsi="Arial" w:cs="Arial"/>
        </w:rPr>
        <w:t xml:space="preserve"> of the principal Act amended</w:t>
      </w:r>
      <w:bookmarkEnd w:id="26"/>
    </w:p>
    <w:bookmarkEnd w:id="27"/>
    <w:p w14:paraId="1B352E9E" w14:textId="104FBE79" w:rsidR="00CB2565" w:rsidRDefault="00CB2565" w:rsidP="00BA2BAF">
      <w:pPr>
        <w:spacing w:before="240" w:after="120" w:line="247" w:lineRule="auto"/>
        <w:ind w:left="567" w:right="1185" w:firstLine="0"/>
      </w:pPr>
      <w:r>
        <w:t>Section 24</w:t>
      </w:r>
      <w:r w:rsidR="007E1CCC">
        <w:t>(1)</w:t>
      </w:r>
      <w:r>
        <w:t xml:space="preserve"> of the principal Act is amended by inserting after </w:t>
      </w:r>
      <w:r w:rsidR="008E07C1">
        <w:t xml:space="preserve">paragraph (e) the </w:t>
      </w:r>
      <w:r>
        <w:t xml:space="preserve">following </w:t>
      </w:r>
      <w:r w:rsidR="008E07C1">
        <w:t>paragraph</w:t>
      </w:r>
      <w:bookmarkStart w:id="28" w:name="_Hlk136304429"/>
      <w:r>
        <w:t>—</w:t>
      </w:r>
      <w:bookmarkEnd w:id="28"/>
    </w:p>
    <w:p w14:paraId="2D92E02F" w14:textId="68D805A1" w:rsidR="00A3753F" w:rsidRDefault="00A3753F" w:rsidP="00A3753F">
      <w:pPr>
        <w:ind w:left="1701" w:right="1187" w:hanging="567"/>
      </w:pPr>
      <w:r>
        <w:t>“(ea)</w:t>
      </w:r>
      <w:r>
        <w:tab/>
      </w:r>
      <w:r w:rsidRPr="006B66C7">
        <w:t>report to the Commission any unusual transactions by market participants and issuers on the Official Exchange;</w:t>
      </w:r>
      <w:r>
        <w:t>”.</w:t>
      </w:r>
    </w:p>
    <w:p w14:paraId="161DC470" w14:textId="02F917BF" w:rsidR="001B029D" w:rsidRDefault="009F542E" w:rsidP="001B029D">
      <w:pPr>
        <w:pStyle w:val="iLAWS300Article"/>
        <w:rPr>
          <w:rFonts w:ascii="Arial" w:eastAsia="Arial" w:hAnsi="Arial" w:cs="Arial"/>
        </w:rPr>
      </w:pPr>
      <w:bookmarkStart w:id="29" w:name="_Toc151283277"/>
      <w:r>
        <w:rPr>
          <w:rFonts w:ascii="Arial" w:eastAsia="Arial" w:hAnsi="Arial" w:cs="Arial"/>
        </w:rPr>
        <w:t>10</w:t>
      </w:r>
      <w:r w:rsidR="001B029D" w:rsidRPr="00441EF3">
        <w:rPr>
          <w:rFonts w:ascii="Arial" w:eastAsia="Arial" w:hAnsi="Arial" w:cs="Arial"/>
        </w:rPr>
        <w:tab/>
        <w:t xml:space="preserve">Section </w:t>
      </w:r>
      <w:r w:rsidR="001B029D">
        <w:rPr>
          <w:rFonts w:ascii="Arial" w:eastAsia="Arial" w:hAnsi="Arial" w:cs="Arial"/>
        </w:rPr>
        <w:t xml:space="preserve">31 </w:t>
      </w:r>
      <w:r w:rsidR="001B029D" w:rsidRPr="00441EF3">
        <w:rPr>
          <w:rFonts w:ascii="Arial" w:eastAsia="Arial" w:hAnsi="Arial" w:cs="Arial"/>
        </w:rPr>
        <w:t xml:space="preserve">of the principal Act </w:t>
      </w:r>
      <w:r w:rsidR="001B029D">
        <w:rPr>
          <w:rFonts w:ascii="Arial" w:eastAsia="Arial" w:hAnsi="Arial" w:cs="Arial"/>
        </w:rPr>
        <w:t>amended</w:t>
      </w:r>
      <w:bookmarkEnd w:id="29"/>
    </w:p>
    <w:p w14:paraId="7A136852" w14:textId="42D3F58B" w:rsidR="006B44DF" w:rsidRDefault="001B029D" w:rsidP="001B029D">
      <w:pPr>
        <w:pStyle w:val="iLAWS310Paragraph"/>
      </w:pPr>
      <w:r w:rsidRPr="001B029D">
        <w:t xml:space="preserve">Section </w:t>
      </w:r>
      <w:r w:rsidR="006B44DF">
        <w:t>31 of the principal Act is amended by inserting after subsection (3)—</w:t>
      </w:r>
    </w:p>
    <w:p w14:paraId="13CBD8D4" w14:textId="383F288C" w:rsidR="00A107A3" w:rsidRDefault="006B44DF" w:rsidP="00A107A3">
      <w:pPr>
        <w:pStyle w:val="iLAWS310Paragraph"/>
      </w:pPr>
      <w:r>
        <w:t>“</w:t>
      </w:r>
      <w:r w:rsidR="00A107A3">
        <w:t>(</w:t>
      </w:r>
      <w:r w:rsidR="007009C2">
        <w:t>4</w:t>
      </w:r>
      <w:r w:rsidRPr="006B44DF">
        <w:t>)</w:t>
      </w:r>
      <w:r w:rsidRPr="006B44DF">
        <w:tab/>
      </w:r>
      <w:r w:rsidR="00A107A3">
        <w:t>Where</w:t>
      </w:r>
      <w:r w:rsidR="00D13849">
        <w:t xml:space="preserve"> </w:t>
      </w:r>
      <w:r w:rsidR="00A107A3">
        <w:t>a holder</w:t>
      </w:r>
      <w:r w:rsidR="00D9006E">
        <w:t xml:space="preserve"> of a licence </w:t>
      </w:r>
      <w:r w:rsidR="00A107A3">
        <w:t xml:space="preserve">referred to in section 29 or 30 uses a brand name to solicit clients or advertise its services, </w:t>
      </w:r>
      <w:r w:rsidR="00D9006E">
        <w:t>the h</w:t>
      </w:r>
      <w:r w:rsidR="008520EB">
        <w:t>o</w:t>
      </w:r>
      <w:r w:rsidR="00D9006E">
        <w:t>lder of the licence</w:t>
      </w:r>
      <w:r w:rsidR="00A107A3">
        <w:t xml:space="preserve"> shall ensure that the solicitation also displays the name of the licence holder.</w:t>
      </w:r>
    </w:p>
    <w:p w14:paraId="0FC9090A" w14:textId="70A450F8" w:rsidR="006B44DF" w:rsidRDefault="00741093" w:rsidP="00B3225B">
      <w:pPr>
        <w:pStyle w:val="iLAWS310Paragraph"/>
      </w:pPr>
      <w:r>
        <w:t>(5)</w:t>
      </w:r>
      <w:r>
        <w:tab/>
      </w:r>
      <w:r w:rsidR="00A107A3">
        <w:t xml:space="preserve">Where an investment dealer or investment advisor opens </w:t>
      </w:r>
      <w:r w:rsidR="00C41899">
        <w:t xml:space="preserve">a </w:t>
      </w:r>
      <w:r w:rsidR="00A107A3">
        <w:t xml:space="preserve">branch or </w:t>
      </w:r>
      <w:r w:rsidR="00C41899">
        <w:t xml:space="preserve">subsidiary in another </w:t>
      </w:r>
      <w:r w:rsidR="00A107A3">
        <w:t>jurisdiction,</w:t>
      </w:r>
      <w:r w:rsidR="00C41899">
        <w:t xml:space="preserve"> the investment dealer or adviser must </w:t>
      </w:r>
      <w:r w:rsidR="00B3225B">
        <w:t xml:space="preserve">comply with the </w:t>
      </w:r>
      <w:r w:rsidR="00FF2463">
        <w:t>other</w:t>
      </w:r>
      <w:r w:rsidR="00A107A3">
        <w:t xml:space="preserve"> jurisdiction's </w:t>
      </w:r>
      <w:r w:rsidR="007652EE">
        <w:t>laws</w:t>
      </w:r>
      <w:r w:rsidR="00A107A3">
        <w:t xml:space="preserve"> concerning solicitation of clients</w:t>
      </w:r>
      <w:r w:rsidR="00B3225B">
        <w:t xml:space="preserve"> unless exempt pursuant to an agreement between the </w:t>
      </w:r>
      <w:r w:rsidR="008142B3">
        <w:t>Commission and</w:t>
      </w:r>
      <w:r w:rsidR="00B3225B">
        <w:t xml:space="preserve"> the</w:t>
      </w:r>
      <w:r w:rsidR="00B357A2">
        <w:t xml:space="preserve"> </w:t>
      </w:r>
      <w:r w:rsidR="00507690">
        <w:t>regulatory authority in that other jurisdiction</w:t>
      </w:r>
      <w:r w:rsidR="00E60315">
        <w:t xml:space="preserve"> and complies with th</w:t>
      </w:r>
      <w:r w:rsidR="00915FEE">
        <w:t xml:space="preserve">is </w:t>
      </w:r>
      <w:r>
        <w:t>subsection (4).</w:t>
      </w:r>
    </w:p>
    <w:p w14:paraId="089291DA" w14:textId="226199A3" w:rsidR="00741093" w:rsidRPr="00741093" w:rsidRDefault="00741093" w:rsidP="00741093">
      <w:pPr>
        <w:pStyle w:val="iLAWS310Paragraph"/>
      </w:pPr>
      <w:r>
        <w:t>(6)</w:t>
      </w:r>
      <w:r>
        <w:tab/>
      </w:r>
      <w:r w:rsidR="00D13849">
        <w:t>F</w:t>
      </w:r>
      <w:r>
        <w:t xml:space="preserve">or the purposes of this section </w:t>
      </w:r>
      <w:r w:rsidR="004241D3">
        <w:t>a</w:t>
      </w:r>
      <w:r w:rsidR="00D13849">
        <w:t>n</w:t>
      </w:r>
      <w:r w:rsidR="00D13849" w:rsidRPr="00D13849">
        <w:t xml:space="preserve"> </w:t>
      </w:r>
      <w:r w:rsidR="00D13849">
        <w:t>investment dealer or investment advisor</w:t>
      </w:r>
      <w:r w:rsidR="004241D3">
        <w:t xml:space="preserve"> uses a brand name to solici</w:t>
      </w:r>
      <w:r w:rsidR="00D13849">
        <w:t>t</w:t>
      </w:r>
      <w:r w:rsidR="004241D3">
        <w:t xml:space="preserve"> clients or advert</w:t>
      </w:r>
      <w:r w:rsidR="00D13849">
        <w:t>i</w:t>
      </w:r>
      <w:r w:rsidR="004241D3">
        <w:t xml:space="preserve">se it services </w:t>
      </w:r>
      <w:r w:rsidR="00D13849">
        <w:t xml:space="preserve">if in advertising it </w:t>
      </w:r>
      <w:r w:rsidRPr="00741093">
        <w:t xml:space="preserve">focuses on the </w:t>
      </w:r>
      <w:r w:rsidR="004A6F77">
        <w:t>b</w:t>
      </w:r>
      <w:r w:rsidRPr="00741093">
        <w:t>rand, to raise awareness</w:t>
      </w:r>
      <w:r w:rsidR="00411FCD">
        <w:t xml:space="preserve"> </w:t>
      </w:r>
      <w:r w:rsidR="009A7B6C">
        <w:t xml:space="preserve">including where it </w:t>
      </w:r>
      <w:r w:rsidRPr="00741093">
        <w:t>refer</w:t>
      </w:r>
      <w:r w:rsidR="009A7B6C">
        <w:t>s</w:t>
      </w:r>
      <w:r w:rsidRPr="00741093">
        <w:t xml:space="preserve"> to and promote</w:t>
      </w:r>
      <w:r w:rsidR="009A7B6C">
        <w:t>s</w:t>
      </w:r>
      <w:r w:rsidRPr="00741093">
        <w:t xml:space="preserve"> particular products and services. </w:t>
      </w:r>
    </w:p>
    <w:p w14:paraId="31201F52" w14:textId="0143B972" w:rsidR="00027D70" w:rsidRDefault="00A107A3" w:rsidP="00F638DB">
      <w:pPr>
        <w:pStyle w:val="iLAWS300Article"/>
      </w:pPr>
      <w:bookmarkStart w:id="30" w:name="_Toc151283278"/>
      <w:r>
        <w:rPr>
          <w:rFonts w:ascii="Arial" w:eastAsia="Arial" w:hAnsi="Arial" w:cs="Arial"/>
        </w:rPr>
        <w:t>1</w:t>
      </w:r>
      <w:r w:rsidR="009F542E">
        <w:rPr>
          <w:rFonts w:ascii="Arial" w:eastAsia="Arial" w:hAnsi="Arial" w:cs="Arial"/>
        </w:rPr>
        <w:t>1</w:t>
      </w:r>
      <w:r w:rsidR="00027D70" w:rsidRPr="00441EF3">
        <w:rPr>
          <w:rFonts w:ascii="Arial" w:eastAsia="Arial" w:hAnsi="Arial" w:cs="Arial"/>
        </w:rPr>
        <w:tab/>
        <w:t xml:space="preserve">Section </w:t>
      </w:r>
      <w:r w:rsidR="006D60BF">
        <w:rPr>
          <w:rFonts w:ascii="Arial" w:eastAsia="Arial" w:hAnsi="Arial" w:cs="Arial"/>
        </w:rPr>
        <w:t>3</w:t>
      </w:r>
      <w:r w:rsidR="00DD160D">
        <w:rPr>
          <w:rFonts w:ascii="Arial" w:eastAsia="Arial" w:hAnsi="Arial" w:cs="Arial"/>
        </w:rPr>
        <w:t>1A</w:t>
      </w:r>
      <w:r w:rsidR="00027D70" w:rsidRPr="00441EF3">
        <w:rPr>
          <w:rFonts w:ascii="Arial" w:eastAsia="Arial" w:hAnsi="Arial" w:cs="Arial"/>
        </w:rPr>
        <w:t xml:space="preserve"> of the principal Act </w:t>
      </w:r>
      <w:r w:rsidR="006D60BF">
        <w:rPr>
          <w:rFonts w:ascii="Arial" w:eastAsia="Arial" w:hAnsi="Arial" w:cs="Arial"/>
        </w:rPr>
        <w:t>in</w:t>
      </w:r>
      <w:r w:rsidR="00DD160D">
        <w:rPr>
          <w:rFonts w:ascii="Arial" w:eastAsia="Arial" w:hAnsi="Arial" w:cs="Arial"/>
        </w:rPr>
        <w:t>serted</w:t>
      </w:r>
      <w:bookmarkEnd w:id="30"/>
    </w:p>
    <w:p w14:paraId="769A5BDF" w14:textId="31C04C49" w:rsidR="00DD160D" w:rsidRPr="00DD160D" w:rsidRDefault="00DD160D" w:rsidP="00F638DB">
      <w:pPr>
        <w:pStyle w:val="iLAWS301Paragraphunnumbered"/>
      </w:pPr>
      <w:r w:rsidRPr="00DD160D">
        <w:t xml:space="preserve">The principal Act is amended by inserting after section </w:t>
      </w:r>
      <w:r>
        <w:t>31</w:t>
      </w:r>
      <w:r w:rsidRPr="00DD160D">
        <w:t xml:space="preserve"> the following </w:t>
      </w:r>
      <w:r w:rsidR="005F57B7">
        <w:t xml:space="preserve">new </w:t>
      </w:r>
      <w:r w:rsidRPr="00DD160D">
        <w:t xml:space="preserve">section — </w:t>
      </w:r>
    </w:p>
    <w:p w14:paraId="1AC37BCA" w14:textId="50E29EAB" w:rsidR="00DD160D" w:rsidRPr="00DF292B" w:rsidRDefault="00DD160D" w:rsidP="00DF292B">
      <w:pPr>
        <w:pStyle w:val="iLAWS301Paragraphunnumbered"/>
        <w:rPr>
          <w:b/>
          <w:bCs/>
        </w:rPr>
      </w:pPr>
      <w:bookmarkStart w:id="31" w:name="_Hlk150729031"/>
      <w:r w:rsidRPr="00DD160D">
        <w:t>“</w:t>
      </w:r>
      <w:r w:rsidRPr="00DF292B">
        <w:rPr>
          <w:rFonts w:ascii="Arial" w:hAnsi="Arial" w:cs="Arial"/>
          <w:b/>
          <w:bCs/>
        </w:rPr>
        <w:t>31A</w:t>
      </w:r>
      <w:r w:rsidRPr="00DF292B">
        <w:rPr>
          <w:rFonts w:ascii="Arial" w:hAnsi="Arial" w:cs="Arial"/>
          <w:b/>
          <w:bCs/>
        </w:rPr>
        <w:tab/>
        <w:t>Product due diligence</w:t>
      </w:r>
    </w:p>
    <w:p w14:paraId="4FE076C4" w14:textId="5EEA9D8B" w:rsidR="00027D70" w:rsidRPr="00407669" w:rsidRDefault="00DD160D" w:rsidP="00F638DB">
      <w:pPr>
        <w:pStyle w:val="iLAWS310Paragraph"/>
      </w:pPr>
      <w:r w:rsidRPr="00DF292B">
        <w:rPr>
          <w:b/>
          <w:bCs/>
        </w:rPr>
        <w:t>(</w:t>
      </w:r>
      <w:r w:rsidR="00027D70" w:rsidRPr="00407669">
        <w:t>1)</w:t>
      </w:r>
      <w:r w:rsidR="00407669">
        <w:tab/>
      </w:r>
      <w:r w:rsidR="00027D70" w:rsidRPr="00407669">
        <w:t xml:space="preserve">Before selling or marketing any new product in </w:t>
      </w:r>
      <w:r w:rsidR="00407669">
        <w:t xml:space="preserve">Mauritius </w:t>
      </w:r>
      <w:r w:rsidR="00027D70" w:rsidRPr="00407669">
        <w:t>to any targeted client, a</w:t>
      </w:r>
      <w:r w:rsidR="00407669">
        <w:t xml:space="preserve">n investment </w:t>
      </w:r>
      <w:r w:rsidR="00027D70" w:rsidRPr="00407669">
        <w:t>adviser shall carry out a due diligence exercise to ascertain whether the new product is suitable for the targeted client.</w:t>
      </w:r>
    </w:p>
    <w:bookmarkEnd w:id="31"/>
    <w:p w14:paraId="713920C8" w14:textId="28182A0D" w:rsidR="00027D70" w:rsidRPr="00407669" w:rsidRDefault="00027D70" w:rsidP="00F638DB">
      <w:pPr>
        <w:pStyle w:val="iLAWS310Paragraph"/>
      </w:pPr>
      <w:r w:rsidRPr="00407669">
        <w:t>(2)</w:t>
      </w:r>
      <w:r w:rsidR="00407669">
        <w:tab/>
      </w:r>
      <w:r w:rsidRPr="00407669">
        <w:t xml:space="preserve">A due diligence exercise required to be carried out under </w:t>
      </w:r>
      <w:r w:rsidR="00407669">
        <w:t xml:space="preserve">subsection </w:t>
      </w:r>
      <w:r w:rsidRPr="00407669">
        <w:t>(1) shall include an assessment of all the following areas:</w:t>
      </w:r>
    </w:p>
    <w:p w14:paraId="37AB81DB" w14:textId="7D498A91" w:rsidR="00027D70" w:rsidRDefault="00027D70" w:rsidP="00027D70">
      <w:pPr>
        <w:ind w:left="1701" w:right="1187" w:hanging="567"/>
      </w:pPr>
      <w:r>
        <w:t>(a)</w:t>
      </w:r>
      <w:r>
        <w:tab/>
        <w:t xml:space="preserve">the type of targeted client the new product is suitable for and whether the new product matches the client base of the </w:t>
      </w:r>
      <w:r w:rsidR="00E87642">
        <w:t>investment</w:t>
      </w:r>
      <w:r>
        <w:t xml:space="preserve"> adviser;</w:t>
      </w:r>
    </w:p>
    <w:p w14:paraId="49A1894C" w14:textId="77777777" w:rsidR="00027D70" w:rsidRDefault="00027D70" w:rsidP="00027D70">
      <w:pPr>
        <w:ind w:left="1701" w:right="1187" w:hanging="567"/>
      </w:pPr>
      <w:r>
        <w:t>(b)</w:t>
      </w:r>
      <w:r>
        <w:tab/>
        <w:t>the investment objective of the new product;</w:t>
      </w:r>
    </w:p>
    <w:p w14:paraId="551D012C" w14:textId="77777777" w:rsidR="00027D70" w:rsidRDefault="00027D70" w:rsidP="00027D70">
      <w:pPr>
        <w:ind w:left="1701" w:right="1187" w:hanging="567"/>
      </w:pPr>
      <w:r>
        <w:t>(c)</w:t>
      </w:r>
      <w:r>
        <w:tab/>
        <w:t>the key risks that a targeted client who invests in the new product potentially faces;</w:t>
      </w:r>
    </w:p>
    <w:p w14:paraId="54C2E9A6" w14:textId="2D038745" w:rsidR="00027D70" w:rsidRDefault="00027D70" w:rsidP="00027D70">
      <w:pPr>
        <w:ind w:left="1701" w:right="1187" w:hanging="567"/>
      </w:pPr>
      <w:r>
        <w:t>(d)</w:t>
      </w:r>
      <w:r>
        <w:tab/>
        <w:t xml:space="preserve">the costs and fees to be incurred by a targeted client investing in the new product as compared to other products with similar features sold by the </w:t>
      </w:r>
      <w:r w:rsidR="00E87642">
        <w:t xml:space="preserve">investment </w:t>
      </w:r>
      <w:r>
        <w:t>adviser;</w:t>
      </w:r>
    </w:p>
    <w:p w14:paraId="548A5806" w14:textId="75B1175A" w:rsidR="00027D70" w:rsidRDefault="00027D70" w:rsidP="00027D70">
      <w:pPr>
        <w:ind w:left="1701" w:right="1187" w:hanging="567"/>
      </w:pPr>
      <w:r>
        <w:t>(e)</w:t>
      </w:r>
      <w:r>
        <w:tab/>
        <w:t xml:space="preserve">the processes in place for a representative of the </w:t>
      </w:r>
      <w:r w:rsidR="00877456">
        <w:t>investment adviser</w:t>
      </w:r>
      <w:r>
        <w:t xml:space="preserve"> to determine whether the new product is suitable for the targeted client, taking into consideration the nature, key risks and features of the new product;</w:t>
      </w:r>
    </w:p>
    <w:p w14:paraId="5A5FCC66" w14:textId="77777777" w:rsidR="00027D70" w:rsidRDefault="00027D70" w:rsidP="00027D70">
      <w:pPr>
        <w:ind w:left="1701" w:right="1187" w:hanging="567"/>
      </w:pPr>
      <w:r>
        <w:t>(f)</w:t>
      </w:r>
      <w:r>
        <w:tab/>
        <w:t>how the new product is intended to be marketed or sold;</w:t>
      </w:r>
    </w:p>
    <w:p w14:paraId="28314650" w14:textId="09DB73FE" w:rsidR="00027D70" w:rsidRDefault="00027D70" w:rsidP="00027D70">
      <w:pPr>
        <w:ind w:left="1701" w:right="1187" w:hanging="567"/>
      </w:pPr>
      <w:r>
        <w:t>(g)</w:t>
      </w:r>
      <w:r>
        <w:tab/>
        <w:t xml:space="preserve">whether any additional measures are necessary to mitigate any conflict of interest between a representative of the </w:t>
      </w:r>
      <w:r w:rsidR="00E87642">
        <w:t xml:space="preserve">investment </w:t>
      </w:r>
      <w:r>
        <w:t xml:space="preserve">adviser and </w:t>
      </w:r>
      <w:r w:rsidR="00532ECF">
        <w:t>the</w:t>
      </w:r>
      <w:r>
        <w:t xml:space="preserve"> targeted client, arising from the remuneration of such representative as a result of the sale of the new product to that targeted client;</w:t>
      </w:r>
    </w:p>
    <w:p w14:paraId="05633C10" w14:textId="67D7BEFF" w:rsidR="00027D70" w:rsidRDefault="00027D70" w:rsidP="00027D70">
      <w:pPr>
        <w:ind w:left="1701" w:right="1187" w:hanging="567"/>
      </w:pPr>
      <w:r>
        <w:t>(h)</w:t>
      </w:r>
      <w:r>
        <w:tab/>
        <w:t xml:space="preserve">the minimum qualifications or training required for a representative of the </w:t>
      </w:r>
      <w:r w:rsidR="00532ECF">
        <w:t>investment</w:t>
      </w:r>
      <w:r>
        <w:t xml:space="preserve"> adviser before such representative commences </w:t>
      </w:r>
      <w:r w:rsidR="00532ECF">
        <w:t xml:space="preserve">investment </w:t>
      </w:r>
      <w:r>
        <w:t>advisory services in respect of the new product; and</w:t>
      </w:r>
    </w:p>
    <w:p w14:paraId="4B03F2DA" w14:textId="1696A392" w:rsidR="00027D70" w:rsidRDefault="00027D70" w:rsidP="00027D70">
      <w:pPr>
        <w:ind w:left="1701" w:right="1187" w:hanging="567"/>
      </w:pPr>
      <w:r>
        <w:t>(i)</w:t>
      </w:r>
      <w:r>
        <w:tab/>
        <w:t xml:space="preserve">whether the current systems of the </w:t>
      </w:r>
      <w:r w:rsidR="00532ECF">
        <w:t xml:space="preserve">investment </w:t>
      </w:r>
      <w:r>
        <w:t>adviser, including all relevant client sales documents, adequately support the sale of the new product to the targeted client.</w:t>
      </w:r>
    </w:p>
    <w:p w14:paraId="71886225" w14:textId="37C26D3D" w:rsidR="00027D70" w:rsidRDefault="00027D70" w:rsidP="00F638DB">
      <w:pPr>
        <w:ind w:left="1134" w:right="1187" w:hanging="567"/>
      </w:pPr>
      <w:r>
        <w:t>(3)</w:t>
      </w:r>
      <w:r w:rsidR="00F638DB">
        <w:tab/>
      </w:r>
      <w:r w:rsidR="00532ECF">
        <w:t>An</w:t>
      </w:r>
      <w:r>
        <w:t xml:space="preserve"> </w:t>
      </w:r>
      <w:r w:rsidR="00532ECF">
        <w:t xml:space="preserve">investment </w:t>
      </w:r>
      <w:r>
        <w:t xml:space="preserve">adviser shall </w:t>
      </w:r>
      <w:r w:rsidR="00532ECF">
        <w:t xml:space="preserve">not </w:t>
      </w:r>
      <w:r>
        <w:t xml:space="preserve">sell or market any new product to any targeted client unless every member of the senior management of the </w:t>
      </w:r>
      <w:r w:rsidR="00532ECF">
        <w:t xml:space="preserve">investment </w:t>
      </w:r>
      <w:r>
        <w:t xml:space="preserve">adviser has, on the basis of the result of the due diligence exercise carried out on the new product under </w:t>
      </w:r>
      <w:r w:rsidR="00490A00">
        <w:t xml:space="preserve">subsection </w:t>
      </w:r>
      <w:r>
        <w:t>(1) —</w:t>
      </w:r>
    </w:p>
    <w:p w14:paraId="182A1430" w14:textId="77777777" w:rsidR="00027D70" w:rsidRDefault="00027D70" w:rsidP="00027D70">
      <w:pPr>
        <w:ind w:left="1701" w:right="1187" w:hanging="567"/>
      </w:pPr>
      <w:r>
        <w:t>(a)</w:t>
      </w:r>
      <w:r>
        <w:tab/>
        <w:t>personally satisfied himself that the new product is suitable for the targeted client; and</w:t>
      </w:r>
    </w:p>
    <w:p w14:paraId="21553AE6" w14:textId="77777777" w:rsidR="00027D70" w:rsidRDefault="00027D70" w:rsidP="00027D70">
      <w:pPr>
        <w:ind w:left="1701" w:right="1187" w:hanging="567"/>
      </w:pPr>
      <w:r>
        <w:t>(b)</w:t>
      </w:r>
      <w:r>
        <w:tab/>
        <w:t>personally approved the sale or marketing of the new product to the targeted client.</w:t>
      </w:r>
    </w:p>
    <w:p w14:paraId="5DC14BA4" w14:textId="097F7CFC" w:rsidR="00027D70" w:rsidRDefault="00027D70" w:rsidP="00F638DB">
      <w:pPr>
        <w:ind w:left="1134" w:right="1187" w:hanging="567"/>
      </w:pPr>
      <w:r>
        <w:t>(4)</w:t>
      </w:r>
      <w:r w:rsidR="00F638DB">
        <w:tab/>
      </w:r>
      <w:r>
        <w:t xml:space="preserve">Notwithstanding paragraph (3), the senior management of the </w:t>
      </w:r>
      <w:r w:rsidR="00532ECF">
        <w:t xml:space="preserve">investment </w:t>
      </w:r>
      <w:r>
        <w:t>adviser may, with the unanimous consent of all its members, designate —</w:t>
      </w:r>
    </w:p>
    <w:p w14:paraId="5B7FB45C" w14:textId="2B2A56B8" w:rsidR="00027D70" w:rsidRDefault="00027D70" w:rsidP="00027D70">
      <w:pPr>
        <w:ind w:left="1701" w:right="1187" w:hanging="567"/>
      </w:pPr>
      <w:r>
        <w:t>(a)</w:t>
      </w:r>
      <w:r>
        <w:tab/>
        <w:t xml:space="preserve">a person who may or may not be a member of the senior management (referred to in this regulation as the designated person) to personally satisfy </w:t>
      </w:r>
      <w:r w:rsidR="000A1628">
        <w:t>h</w:t>
      </w:r>
      <w:r>
        <w:t xml:space="preserve">imself and approve in accordance with the requirements referred to in </w:t>
      </w:r>
      <w:r w:rsidR="00490A00">
        <w:t xml:space="preserve">subsection </w:t>
      </w:r>
      <w:r>
        <w:t>(3)(a) and (b); or</w:t>
      </w:r>
    </w:p>
    <w:p w14:paraId="535AC44C" w14:textId="2E4A4672" w:rsidR="00027D70" w:rsidRDefault="00027D70" w:rsidP="00027D70">
      <w:pPr>
        <w:ind w:left="1701" w:right="1187" w:hanging="567"/>
      </w:pPr>
      <w:r>
        <w:t>(b)</w:t>
      </w:r>
      <w:r>
        <w:tab/>
        <w:t xml:space="preserve">a committee (referred to in this </w:t>
      </w:r>
      <w:r w:rsidR="00490A00">
        <w:t>section</w:t>
      </w:r>
      <w:r>
        <w:t xml:space="preserve"> as the designated committee) comprising at least 2 persons, each of whom may or may not be a member of the senior management, and every member of the designated committee shall personally satisfy himself and approve in accordance with the requirements referred to in </w:t>
      </w:r>
      <w:r w:rsidR="00292EC6">
        <w:t xml:space="preserve">subsection </w:t>
      </w:r>
      <w:r>
        <w:t>(3)(a) and (b),</w:t>
      </w:r>
    </w:p>
    <w:p w14:paraId="3B684C2B" w14:textId="1F0E187B" w:rsidR="00027D70" w:rsidRDefault="00027D70" w:rsidP="00CF2142">
      <w:pPr>
        <w:ind w:left="1134" w:right="1187" w:firstLine="0"/>
      </w:pPr>
      <w:r>
        <w:t>and every member of the senior management shall ensure that the designated person or every member of the designated committee fulfills those requirements.</w:t>
      </w:r>
    </w:p>
    <w:p w14:paraId="2B3EDC26" w14:textId="5F1F11EE" w:rsidR="00027D70" w:rsidRDefault="00027D70" w:rsidP="00F638DB">
      <w:pPr>
        <w:ind w:left="1134" w:right="1187" w:hanging="567"/>
      </w:pPr>
      <w:r>
        <w:t>(5)</w:t>
      </w:r>
      <w:r w:rsidR="00F638DB">
        <w:tab/>
      </w:r>
      <w:r>
        <w:t xml:space="preserve">A failure by any member of the senior management to fulfill any of the requirements set out in </w:t>
      </w:r>
      <w:r w:rsidR="00292EC6">
        <w:t xml:space="preserve">subsection </w:t>
      </w:r>
      <w:r>
        <w:t>(3</w:t>
      </w:r>
      <w:r w:rsidR="00292EC6">
        <w:t>)</w:t>
      </w:r>
      <w:r>
        <w:t xml:space="preserve"> or (4) shall be deemed to be a failure of that member to discharge the duties or functions of his office under section 64(1)(c) of the Act.</w:t>
      </w:r>
    </w:p>
    <w:p w14:paraId="2E9BF109" w14:textId="075193DD" w:rsidR="00027D70" w:rsidRDefault="00027D70" w:rsidP="00CF2142">
      <w:pPr>
        <w:ind w:left="1134" w:right="1187" w:hanging="567"/>
      </w:pPr>
      <w:r>
        <w:t>(6)</w:t>
      </w:r>
      <w:r w:rsidR="00F638DB">
        <w:tab/>
        <w:t>W</w:t>
      </w:r>
      <w:r>
        <w:t xml:space="preserve">here the senior management of the </w:t>
      </w:r>
      <w:r w:rsidR="00877456">
        <w:t>investment adviser</w:t>
      </w:r>
      <w:r>
        <w:t xml:space="preserve"> contravenes paragraph (4) by designating a designated person or designated committee without the unanimous consent of all of its members, every member of the senior management who consented to such designation will be deemed to have failed to discharge the duties or functions of his office under section 64(1)(c) of the Act.</w:t>
      </w:r>
    </w:p>
    <w:p w14:paraId="0EB0B752" w14:textId="79A4790F" w:rsidR="00027D70" w:rsidRDefault="00027D70" w:rsidP="00CF2142">
      <w:pPr>
        <w:ind w:left="1134" w:right="1187" w:hanging="567"/>
      </w:pPr>
      <w:r>
        <w:t>(7)</w:t>
      </w:r>
      <w:r w:rsidR="00F638DB">
        <w:tab/>
      </w:r>
      <w:r>
        <w:t xml:space="preserve">Where a </w:t>
      </w:r>
      <w:r w:rsidR="00877456">
        <w:t>investment adviser</w:t>
      </w:r>
      <w:r>
        <w:t xml:space="preserve"> complies with </w:t>
      </w:r>
      <w:r w:rsidR="00292EC6">
        <w:t xml:space="preserve">subsection </w:t>
      </w:r>
      <w:r>
        <w:t xml:space="preserve">(3) with respect to a new product to be sold or marketed by the </w:t>
      </w:r>
      <w:r w:rsidR="00877456">
        <w:t>investment adviser</w:t>
      </w:r>
      <w:r>
        <w:t xml:space="preserve">, the </w:t>
      </w:r>
      <w:r w:rsidR="00877456">
        <w:t>investment adviser</w:t>
      </w:r>
      <w:r>
        <w:t xml:space="preserve"> must maintain records of the following items for a period of at least 5 years after the date on which the last member of the senior management of the </w:t>
      </w:r>
      <w:r w:rsidR="00877456">
        <w:t>investment adviser</w:t>
      </w:r>
      <w:r>
        <w:t xml:space="preserve"> gave his approval mentioned in </w:t>
      </w:r>
      <w:r w:rsidR="00292EC6">
        <w:t xml:space="preserve">subsection </w:t>
      </w:r>
      <w:r>
        <w:t>(3)(b) in respect of the new product:</w:t>
      </w:r>
    </w:p>
    <w:p w14:paraId="2C756E60" w14:textId="39A0531B" w:rsidR="00027D70" w:rsidRDefault="00027D70" w:rsidP="00027D70">
      <w:pPr>
        <w:ind w:left="1701" w:right="1187" w:hanging="567"/>
      </w:pPr>
      <w:r>
        <w:t>(a)</w:t>
      </w:r>
      <w:r>
        <w:tab/>
        <w:t xml:space="preserve">any due diligence exercise carried out under </w:t>
      </w:r>
      <w:r w:rsidR="00292EC6">
        <w:t xml:space="preserve">subsection </w:t>
      </w:r>
      <w:r>
        <w:t>(1) in respect of the new product;</w:t>
      </w:r>
    </w:p>
    <w:p w14:paraId="30182B73" w14:textId="0260CDBC" w:rsidR="00027D70" w:rsidRDefault="00027D70" w:rsidP="00027D70">
      <w:pPr>
        <w:ind w:left="1701" w:right="1187" w:hanging="567"/>
      </w:pPr>
      <w:r>
        <w:t>(b)</w:t>
      </w:r>
      <w:r>
        <w:tab/>
        <w:t xml:space="preserve">the approval mentioned in </w:t>
      </w:r>
      <w:r w:rsidR="00292EC6">
        <w:t xml:space="preserve">subsection </w:t>
      </w:r>
      <w:r>
        <w:t xml:space="preserve">(3)(b) of all the members of the senior management of the </w:t>
      </w:r>
      <w:r w:rsidR="00877456">
        <w:t>investment adviser</w:t>
      </w:r>
      <w:r>
        <w:t>.</w:t>
      </w:r>
    </w:p>
    <w:p w14:paraId="17205A2A" w14:textId="6CF47F01" w:rsidR="00027D70" w:rsidRDefault="00027D70" w:rsidP="00F638DB">
      <w:pPr>
        <w:ind w:left="1134" w:right="1187" w:hanging="567"/>
      </w:pPr>
      <w:r>
        <w:t>(</w:t>
      </w:r>
      <w:r w:rsidR="000A1628">
        <w:t>8</w:t>
      </w:r>
      <w:r>
        <w:t>)</w:t>
      </w:r>
      <w:r w:rsidR="00F638DB">
        <w:tab/>
      </w:r>
      <w:r>
        <w:t xml:space="preserve">Where the senior management of the </w:t>
      </w:r>
      <w:r w:rsidR="00877456">
        <w:t>investment adviser</w:t>
      </w:r>
      <w:r>
        <w:t xml:space="preserve"> appoints a designated person under </w:t>
      </w:r>
      <w:r w:rsidR="00292EC6">
        <w:t xml:space="preserve">subsection </w:t>
      </w:r>
      <w:r>
        <w:t xml:space="preserve">(4)(a) in respect of a new product to be sold or marketed by the </w:t>
      </w:r>
      <w:r w:rsidR="00877456">
        <w:t>investment adviser</w:t>
      </w:r>
      <w:r>
        <w:t xml:space="preserve">, and the designated person fulfils the requirements mentioned in </w:t>
      </w:r>
      <w:r w:rsidR="00292EC6">
        <w:t xml:space="preserve">subsection </w:t>
      </w:r>
      <w:r>
        <w:t xml:space="preserve">(3)(a) and (b), the </w:t>
      </w:r>
      <w:r w:rsidR="00877456">
        <w:t>investment adviser</w:t>
      </w:r>
      <w:r>
        <w:t xml:space="preserve"> must maintain records of the following items for a period of at least 5 years after the date on which the designated person gave his approval mentioned in </w:t>
      </w:r>
      <w:r w:rsidR="00292EC6">
        <w:t>sub</w:t>
      </w:r>
      <w:r w:rsidR="0028049C">
        <w:t xml:space="preserve">section </w:t>
      </w:r>
      <w:r>
        <w:t>(3)(b) in respect of the new product:</w:t>
      </w:r>
    </w:p>
    <w:p w14:paraId="4F2FCD81" w14:textId="77777777" w:rsidR="00027D70" w:rsidRDefault="00027D70" w:rsidP="00027D70">
      <w:pPr>
        <w:ind w:left="1701" w:right="1187" w:hanging="567"/>
      </w:pPr>
      <w:r>
        <w:t>(a)</w:t>
      </w:r>
      <w:r>
        <w:tab/>
        <w:t>any due diligence exercise carried out under paragraph (1) in respect of the new product;</w:t>
      </w:r>
    </w:p>
    <w:p w14:paraId="77EBBC4E" w14:textId="77777777" w:rsidR="00027D70" w:rsidRDefault="00027D70" w:rsidP="00027D70">
      <w:pPr>
        <w:ind w:left="1701" w:right="1187" w:hanging="567"/>
      </w:pPr>
      <w:r>
        <w:t>(b)</w:t>
      </w:r>
      <w:r>
        <w:tab/>
        <w:t>the unanimous consent of the members of the senior management to designate the designated person, as mentioned in paragraph (4);</w:t>
      </w:r>
    </w:p>
    <w:p w14:paraId="29A3F280" w14:textId="5A322EC8" w:rsidR="00027D70" w:rsidRDefault="00027D70" w:rsidP="00027D70">
      <w:pPr>
        <w:ind w:left="1701" w:right="1187" w:hanging="567"/>
      </w:pPr>
      <w:r>
        <w:t>(c)</w:t>
      </w:r>
      <w:r>
        <w:tab/>
        <w:t xml:space="preserve">the approval mentioned in </w:t>
      </w:r>
      <w:r w:rsidR="0028049C">
        <w:t>subsection</w:t>
      </w:r>
      <w:r>
        <w:t xml:space="preserve"> (3)(b) of the designated person.</w:t>
      </w:r>
    </w:p>
    <w:p w14:paraId="7D2529BE" w14:textId="68C1D954" w:rsidR="00027D70" w:rsidRDefault="00F638DB" w:rsidP="00CF2142">
      <w:pPr>
        <w:tabs>
          <w:tab w:val="left" w:pos="1276"/>
        </w:tabs>
        <w:ind w:left="1134" w:right="1187" w:hanging="567"/>
      </w:pPr>
      <w:r>
        <w:t>(</w:t>
      </w:r>
      <w:r w:rsidR="000A1628">
        <w:t>9)</w:t>
      </w:r>
      <w:r>
        <w:tab/>
        <w:t>W</w:t>
      </w:r>
      <w:r w:rsidR="00027D70">
        <w:t xml:space="preserve">here the senior management of the </w:t>
      </w:r>
      <w:r w:rsidR="00877456">
        <w:t>investment adviser</w:t>
      </w:r>
      <w:r w:rsidR="00027D70">
        <w:t xml:space="preserve"> appoints a designated committee under </w:t>
      </w:r>
      <w:r w:rsidR="0028049C">
        <w:t xml:space="preserve">subsection </w:t>
      </w:r>
      <w:r w:rsidR="00027D70">
        <w:t xml:space="preserve">(4)(b) in respect of a new product to be sold or marketed by the </w:t>
      </w:r>
      <w:r w:rsidR="00877456">
        <w:t>investment adviser</w:t>
      </w:r>
      <w:r w:rsidR="00027D70">
        <w:t xml:space="preserve">, and all the members of the designated committee fulfil the requirements mentioned in </w:t>
      </w:r>
      <w:r w:rsidR="0028049C">
        <w:t xml:space="preserve">subsection </w:t>
      </w:r>
      <w:r w:rsidR="00027D70">
        <w:t xml:space="preserve">(3)(a) and (b), the </w:t>
      </w:r>
      <w:r w:rsidR="00877456">
        <w:t>investment adviser</w:t>
      </w:r>
      <w:r w:rsidR="00027D70">
        <w:t xml:space="preserve"> must maintain records of the following items for a period of at least 5 years after the date on which the last member of the designated committee of the </w:t>
      </w:r>
      <w:r w:rsidR="00877456">
        <w:t>investment adviser</w:t>
      </w:r>
      <w:r w:rsidR="00027D70">
        <w:t xml:space="preserve"> gave his approval mentioned in </w:t>
      </w:r>
      <w:r w:rsidR="0028049C">
        <w:t xml:space="preserve">subsection </w:t>
      </w:r>
      <w:r w:rsidR="00027D70">
        <w:t>(3)(b) in respect of the new product:</w:t>
      </w:r>
    </w:p>
    <w:p w14:paraId="15BF6905" w14:textId="77777777" w:rsidR="00027D70" w:rsidRDefault="00027D70" w:rsidP="00027D70">
      <w:pPr>
        <w:ind w:left="1701" w:right="1187" w:hanging="567"/>
      </w:pPr>
      <w:r>
        <w:t>(a)</w:t>
      </w:r>
      <w:r>
        <w:tab/>
        <w:t>any due diligence exercise carried out under paragraph (1) in respect of the new product;</w:t>
      </w:r>
    </w:p>
    <w:p w14:paraId="6B2C9631" w14:textId="0A60C8ED" w:rsidR="00027D70" w:rsidRDefault="00027D70" w:rsidP="00027D70">
      <w:pPr>
        <w:ind w:left="1701" w:right="1187" w:hanging="567"/>
      </w:pPr>
      <w:r>
        <w:t>(b)</w:t>
      </w:r>
      <w:r>
        <w:tab/>
        <w:t xml:space="preserve">the unanimous consent of the members of the senior management to designate the designated committee, as mentioned in </w:t>
      </w:r>
      <w:r w:rsidR="0028049C">
        <w:t xml:space="preserve">subsection </w:t>
      </w:r>
      <w:r>
        <w:t>(4);</w:t>
      </w:r>
    </w:p>
    <w:p w14:paraId="288ACA8A" w14:textId="653C4417" w:rsidR="00027D70" w:rsidRDefault="00027D70" w:rsidP="00027D70">
      <w:pPr>
        <w:ind w:left="1701" w:right="1187" w:hanging="567"/>
      </w:pPr>
      <w:r>
        <w:t>(c)</w:t>
      </w:r>
      <w:r>
        <w:tab/>
        <w:t xml:space="preserve">the approval mentioned in </w:t>
      </w:r>
      <w:r w:rsidR="0028049C">
        <w:t xml:space="preserve">subsection </w:t>
      </w:r>
      <w:r>
        <w:t>(3)(b) of all the members of the designated committee.</w:t>
      </w:r>
    </w:p>
    <w:p w14:paraId="7284C720" w14:textId="0D9C3197" w:rsidR="00027D70" w:rsidRDefault="00027D70" w:rsidP="00F638DB">
      <w:pPr>
        <w:ind w:left="1134" w:right="1187" w:hanging="567"/>
      </w:pPr>
      <w:r>
        <w:t>(</w:t>
      </w:r>
      <w:r w:rsidR="000A1628">
        <w:t>10</w:t>
      </w:r>
      <w:r>
        <w:t>)</w:t>
      </w:r>
      <w:r w:rsidR="00F638DB">
        <w:tab/>
      </w:r>
      <w:r>
        <w:t xml:space="preserve">For the avoidance of doubt, no </w:t>
      </w:r>
      <w:r w:rsidR="00877456">
        <w:t>investment adviser</w:t>
      </w:r>
      <w:r>
        <w:t xml:space="preserve"> shall sell or market any new product to any targeted client if the due diligence exercise required to be and carried out under </w:t>
      </w:r>
      <w:r w:rsidR="0028049C">
        <w:t xml:space="preserve">subsection </w:t>
      </w:r>
      <w:r>
        <w:t>(1) indicates that the new product is not suitable for the targeted client.</w:t>
      </w:r>
    </w:p>
    <w:p w14:paraId="6AD81686" w14:textId="38535F7C" w:rsidR="00027D70" w:rsidRDefault="00027D70" w:rsidP="00CF2142">
      <w:pPr>
        <w:ind w:left="1134" w:right="1187" w:hanging="567"/>
      </w:pPr>
      <w:r>
        <w:t>(</w:t>
      </w:r>
      <w:r w:rsidR="000A1628">
        <w:t>11</w:t>
      </w:r>
      <w:r>
        <w:t>)</w:t>
      </w:r>
      <w:r w:rsidR="00F638DB">
        <w:tab/>
      </w:r>
      <w:r>
        <w:t>In this regulation —</w:t>
      </w:r>
    </w:p>
    <w:p w14:paraId="7EE51547" w14:textId="77777777" w:rsidR="00027D70" w:rsidRDefault="00027D70" w:rsidP="00027D70">
      <w:pPr>
        <w:ind w:left="1701" w:right="1187" w:hanging="567"/>
      </w:pPr>
      <w:r>
        <w:t>“key risk” means any risk to a client’s investment in a new product, and includes any market risk, liquidity risk and product-specific risk;</w:t>
      </w:r>
    </w:p>
    <w:p w14:paraId="356E35B6" w14:textId="6D2FF9B9" w:rsidR="00027D70" w:rsidRDefault="00027D70" w:rsidP="00027D70">
      <w:pPr>
        <w:ind w:left="1701" w:right="1187" w:hanging="567"/>
      </w:pPr>
      <w:r>
        <w:t xml:space="preserve">“member of the senior management”, in relation to a </w:t>
      </w:r>
      <w:r w:rsidR="00877456">
        <w:t>investment adviser</w:t>
      </w:r>
      <w:r>
        <w:t>, means a person for the time being holding the office of —</w:t>
      </w:r>
    </w:p>
    <w:p w14:paraId="600F56C4" w14:textId="715E9DFE" w:rsidR="00027D70" w:rsidRDefault="00027D70" w:rsidP="00F638DB">
      <w:pPr>
        <w:ind w:left="2268" w:right="1187" w:hanging="567"/>
      </w:pPr>
      <w:r>
        <w:t>(a)</w:t>
      </w:r>
      <w:r>
        <w:tab/>
        <w:t xml:space="preserve">chief executive officer or an equivalent person of the </w:t>
      </w:r>
      <w:r w:rsidR="00877456">
        <w:t>investment adviser</w:t>
      </w:r>
      <w:r>
        <w:t>; or</w:t>
      </w:r>
    </w:p>
    <w:p w14:paraId="47807A44" w14:textId="122144EE" w:rsidR="00027D70" w:rsidRDefault="00027D70" w:rsidP="00F638DB">
      <w:pPr>
        <w:ind w:left="2268" w:right="1187" w:hanging="567"/>
      </w:pPr>
      <w:r>
        <w:t>(b)</w:t>
      </w:r>
      <w:r>
        <w:tab/>
        <w:t xml:space="preserve">executive director or an equivalent person of the </w:t>
      </w:r>
      <w:r w:rsidR="00877456">
        <w:t>investment adviser</w:t>
      </w:r>
      <w:r>
        <w:t>,</w:t>
      </w:r>
    </w:p>
    <w:p w14:paraId="26DF4D1C" w14:textId="77777777" w:rsidR="00027D70" w:rsidRDefault="00027D70" w:rsidP="00CF2142">
      <w:pPr>
        <w:ind w:left="1134" w:right="1187" w:firstLine="0"/>
      </w:pPr>
      <w:r>
        <w:t>and includes a person carrying out the duties of any such officer if the office is vacant;</w:t>
      </w:r>
    </w:p>
    <w:p w14:paraId="48929F89" w14:textId="301C9EC9" w:rsidR="00027D70" w:rsidRDefault="00027D70" w:rsidP="00027D70">
      <w:pPr>
        <w:ind w:left="1701" w:right="1187" w:hanging="567"/>
      </w:pPr>
      <w:r>
        <w:t xml:space="preserve">“new product”, in relation to a </w:t>
      </w:r>
      <w:r w:rsidR="00877456">
        <w:t>investment adviser</w:t>
      </w:r>
      <w:r>
        <w:t xml:space="preserve"> —</w:t>
      </w:r>
    </w:p>
    <w:p w14:paraId="3BFF188C" w14:textId="742EC7A5" w:rsidR="00027D70" w:rsidRDefault="00027D70" w:rsidP="00027D70">
      <w:pPr>
        <w:ind w:left="1701" w:right="1187" w:hanging="567"/>
      </w:pPr>
      <w:r>
        <w:t>(a)</w:t>
      </w:r>
      <w:r>
        <w:tab/>
        <w:t xml:space="preserve">means any investment product that has not been previously sold or marketed by the </w:t>
      </w:r>
      <w:r w:rsidR="00877456">
        <w:t>investment adviser</w:t>
      </w:r>
      <w:r>
        <w:t xml:space="preserve">, or any representative of the </w:t>
      </w:r>
      <w:r w:rsidR="00877456">
        <w:t>investment adviser</w:t>
      </w:r>
      <w:r>
        <w:t>, other than —</w:t>
      </w:r>
    </w:p>
    <w:p w14:paraId="445D7B2A" w14:textId="77777777" w:rsidR="00027D70" w:rsidRDefault="00027D70" w:rsidP="00CF2142">
      <w:pPr>
        <w:ind w:left="2268" w:right="1187" w:hanging="567"/>
      </w:pPr>
      <w:r>
        <w:t>(i)</w:t>
      </w:r>
      <w:r>
        <w:tab/>
        <w:t>any spot foreign exchange contract other than for the purposes of leveraged foreign exchange trading;</w:t>
      </w:r>
    </w:p>
    <w:p w14:paraId="514ADEF6" w14:textId="77777777" w:rsidR="00027D70" w:rsidRDefault="00027D70" w:rsidP="00CF2142">
      <w:pPr>
        <w:ind w:left="2268" w:right="1187" w:hanging="567"/>
      </w:pPr>
      <w:r>
        <w:t>(ii)</w:t>
      </w:r>
      <w:r>
        <w:tab/>
        <w:t>any futures contract traded on an approved exchange, an overseas exchange or a recognised market operator; or</w:t>
      </w:r>
    </w:p>
    <w:p w14:paraId="40586200" w14:textId="77777777" w:rsidR="00027D70" w:rsidRDefault="00027D70" w:rsidP="00CF2142">
      <w:pPr>
        <w:ind w:left="2268" w:right="1187" w:hanging="567"/>
      </w:pPr>
      <w:r>
        <w:t>(iii)</w:t>
      </w:r>
      <w:r>
        <w:tab/>
        <w:t>any specified product quoted on an approved exchange, an overseas exchange or a recognised market operator; and</w:t>
      </w:r>
    </w:p>
    <w:p w14:paraId="3D2B557D" w14:textId="1C2FF605" w:rsidR="00027D70" w:rsidRDefault="00027D70" w:rsidP="00027D70">
      <w:pPr>
        <w:ind w:left="1701" w:right="1187" w:hanging="567"/>
      </w:pPr>
      <w:r>
        <w:t>(b)</w:t>
      </w:r>
      <w:r>
        <w:tab/>
        <w:t xml:space="preserve">includes any investment product other than the products referred to in </w:t>
      </w:r>
      <w:r w:rsidR="0028049C">
        <w:t xml:space="preserve">subsection </w:t>
      </w:r>
      <w:r>
        <w:t xml:space="preserve">(a)(i), (ii) and (iii), which varies in any manner (other than in respect of the maturity date of the investment product) from any investment product which has been previously sold or marketed by the </w:t>
      </w:r>
      <w:r w:rsidR="00877456">
        <w:t>investment adviser</w:t>
      </w:r>
      <w:r>
        <w:t xml:space="preserve"> or any representative thereof;</w:t>
      </w:r>
    </w:p>
    <w:p w14:paraId="427B829D" w14:textId="46A6E57C" w:rsidR="00027D70" w:rsidRDefault="00F638DB" w:rsidP="00027D70">
      <w:pPr>
        <w:ind w:left="1701" w:right="1187" w:hanging="567"/>
      </w:pPr>
      <w:r>
        <w:t>“</w:t>
      </w:r>
      <w:r w:rsidR="00027D70">
        <w:t xml:space="preserve">targeted client”, in relation to a </w:t>
      </w:r>
      <w:r w:rsidR="00877456">
        <w:t>investment adviser</w:t>
      </w:r>
      <w:r w:rsidR="00027D70">
        <w:t xml:space="preserve"> who intends to sell or market a new product, means any client to whom the </w:t>
      </w:r>
      <w:r w:rsidR="00877456">
        <w:t>investment adviser</w:t>
      </w:r>
      <w:r w:rsidR="00027D70">
        <w:t xml:space="preserve"> intends to sell or market the new product, other than a client that is any of the following:</w:t>
      </w:r>
    </w:p>
    <w:p w14:paraId="174E9196" w14:textId="77777777" w:rsidR="00027D70" w:rsidRDefault="00027D70" w:rsidP="000D044A">
      <w:pPr>
        <w:ind w:left="2268" w:right="1187" w:hanging="567"/>
      </w:pPr>
      <w:r>
        <w:t>(a)</w:t>
      </w:r>
      <w:r>
        <w:tab/>
        <w:t>an accredited investor;</w:t>
      </w:r>
    </w:p>
    <w:p w14:paraId="3C33E515" w14:textId="77777777" w:rsidR="00027D70" w:rsidRDefault="00027D70" w:rsidP="00E71EDD">
      <w:pPr>
        <w:ind w:left="2268" w:right="1187" w:hanging="567"/>
      </w:pPr>
      <w:r>
        <w:t>(b)</w:t>
      </w:r>
      <w:r>
        <w:tab/>
        <w:t>an expert investor;</w:t>
      </w:r>
    </w:p>
    <w:p w14:paraId="2DE83C4F" w14:textId="77777777" w:rsidR="00027D70" w:rsidRDefault="00027D70" w:rsidP="00E71EDD">
      <w:pPr>
        <w:ind w:left="2268" w:right="1187" w:hanging="567"/>
      </w:pPr>
      <w:r>
        <w:t>(c)</w:t>
      </w:r>
      <w:r>
        <w:tab/>
        <w:t>an institutional investor;</w:t>
      </w:r>
    </w:p>
    <w:p w14:paraId="415E68D5" w14:textId="0780888C" w:rsidR="00027D70" w:rsidRDefault="00027D70" w:rsidP="00E71EDD">
      <w:pPr>
        <w:ind w:left="2268" w:right="1187" w:hanging="567"/>
      </w:pPr>
      <w:r>
        <w:t>(d)</w:t>
      </w:r>
      <w:r>
        <w:tab/>
        <w:t xml:space="preserve">an ex-accredited investor who is an existing customer of the </w:t>
      </w:r>
      <w:r w:rsidR="00877456">
        <w:t>investment adviser</w:t>
      </w:r>
      <w:r>
        <w:t xml:space="preserve">, but only in respect of the </w:t>
      </w:r>
      <w:r w:rsidR="00877456">
        <w:t>investment adviser</w:t>
      </w:r>
      <w:r>
        <w:t>’s intention to sell or market the new product in the period from 8 October 2018 to 7 April 2019 (both dates inclusive).</w:t>
      </w:r>
    </w:p>
    <w:p w14:paraId="3681B5E5" w14:textId="5F5AC2F5" w:rsidR="00027D70" w:rsidRDefault="00027D70" w:rsidP="00027D70">
      <w:pPr>
        <w:ind w:left="1701" w:right="1187" w:hanging="567"/>
      </w:pPr>
      <w:r>
        <w:t>(1</w:t>
      </w:r>
      <w:r w:rsidR="000A1628">
        <w:t>2</w:t>
      </w:r>
      <w:r>
        <w:t>)</w:t>
      </w:r>
      <w:r w:rsidR="000D044A">
        <w:tab/>
      </w:r>
      <w:r>
        <w:t xml:space="preserve">Any </w:t>
      </w:r>
      <w:r w:rsidR="00877456">
        <w:t>investment adviser</w:t>
      </w:r>
      <w:r>
        <w:t xml:space="preserve"> which, without reasonable excuse, contravenes this regulation shall be guilty of an offence and shall be liable on conviction to a fine not exceeding</w:t>
      </w:r>
      <w:r w:rsidR="0028049C">
        <w:t xml:space="preserve"> [             rupees].</w:t>
      </w:r>
    </w:p>
    <w:p w14:paraId="258E9EFE" w14:textId="2A53B054" w:rsidR="004E1405" w:rsidRPr="00441EF3" w:rsidRDefault="00CF2142" w:rsidP="004E1405">
      <w:pPr>
        <w:pStyle w:val="iLAWS300Article"/>
        <w:rPr>
          <w:rFonts w:ascii="Arial" w:hAnsi="Arial" w:cs="Arial"/>
        </w:rPr>
      </w:pPr>
      <w:bookmarkStart w:id="32" w:name="_Toc151283279"/>
      <w:bookmarkStart w:id="33" w:name="_Toc136474864"/>
      <w:bookmarkStart w:id="34" w:name="_Hlk136473651"/>
      <w:r>
        <w:rPr>
          <w:rFonts w:ascii="Arial" w:eastAsia="Arial" w:hAnsi="Arial" w:cs="Arial"/>
        </w:rPr>
        <w:t>1</w:t>
      </w:r>
      <w:r w:rsidR="0066709D">
        <w:rPr>
          <w:rFonts w:ascii="Arial" w:eastAsia="Arial" w:hAnsi="Arial" w:cs="Arial"/>
        </w:rPr>
        <w:t>2</w:t>
      </w:r>
      <w:r w:rsidR="004E1405" w:rsidRPr="00441EF3">
        <w:rPr>
          <w:rFonts w:ascii="Arial" w:eastAsia="Arial" w:hAnsi="Arial" w:cs="Arial"/>
        </w:rPr>
        <w:tab/>
        <w:t xml:space="preserve">Section </w:t>
      </w:r>
      <w:r w:rsidR="004E1405">
        <w:rPr>
          <w:rFonts w:ascii="Arial" w:eastAsia="Arial" w:hAnsi="Arial" w:cs="Arial"/>
        </w:rPr>
        <w:t>3</w:t>
      </w:r>
      <w:r w:rsidR="0040589F">
        <w:rPr>
          <w:rFonts w:ascii="Arial" w:eastAsia="Arial" w:hAnsi="Arial" w:cs="Arial"/>
        </w:rPr>
        <w:t>4</w:t>
      </w:r>
      <w:r w:rsidR="004E1405">
        <w:rPr>
          <w:rFonts w:ascii="Arial" w:eastAsia="Arial" w:hAnsi="Arial" w:cs="Arial"/>
        </w:rPr>
        <w:t>A</w:t>
      </w:r>
      <w:r w:rsidR="004E1405" w:rsidRPr="00441EF3">
        <w:rPr>
          <w:rFonts w:ascii="Arial" w:eastAsia="Arial" w:hAnsi="Arial" w:cs="Arial"/>
        </w:rPr>
        <w:t xml:space="preserve"> of the principal Act </w:t>
      </w:r>
      <w:r w:rsidR="004E1405">
        <w:rPr>
          <w:rFonts w:ascii="Arial" w:eastAsia="Arial" w:hAnsi="Arial" w:cs="Arial"/>
        </w:rPr>
        <w:t>inserted</w:t>
      </w:r>
      <w:bookmarkEnd w:id="32"/>
    </w:p>
    <w:p w14:paraId="09F50E94" w14:textId="1D9F9FA8" w:rsidR="004E1405" w:rsidRDefault="004E1405" w:rsidP="004E1405">
      <w:pPr>
        <w:spacing w:before="240" w:after="120" w:line="247" w:lineRule="auto"/>
        <w:ind w:left="567" w:right="1185" w:firstLine="0"/>
      </w:pPr>
      <w:r>
        <w:t>The principal Act is amended by inserting after section 3</w:t>
      </w:r>
      <w:r w:rsidR="005F57B7">
        <w:t>4</w:t>
      </w:r>
      <w:r>
        <w:t xml:space="preserve"> the following </w:t>
      </w:r>
      <w:r w:rsidR="00225BDD">
        <w:t xml:space="preserve">new </w:t>
      </w:r>
      <w:r>
        <w:t>section —</w:t>
      </w:r>
    </w:p>
    <w:p w14:paraId="1294D1F1" w14:textId="0AB3EBBA" w:rsidR="0061385B" w:rsidRPr="004726C5" w:rsidRDefault="0061385B" w:rsidP="0061385B">
      <w:pPr>
        <w:tabs>
          <w:tab w:val="left" w:pos="1134"/>
        </w:tabs>
        <w:spacing w:before="120" w:after="120" w:line="240" w:lineRule="auto"/>
        <w:ind w:left="11" w:right="0" w:firstLine="556"/>
        <w:rPr>
          <w:rFonts w:ascii="Arial" w:hAnsi="Arial" w:cs="Arial"/>
          <w:b/>
          <w:bCs/>
          <w:color w:val="auto"/>
        </w:rPr>
      </w:pPr>
      <w:bookmarkStart w:id="35" w:name="_Hlk149611985"/>
      <w:r w:rsidRPr="004726C5">
        <w:rPr>
          <w:rFonts w:ascii="Arial" w:hAnsi="Arial" w:cs="Arial"/>
          <w:b/>
          <w:bCs/>
          <w:color w:val="auto"/>
        </w:rPr>
        <w:t>“</w:t>
      </w:r>
      <w:r>
        <w:rPr>
          <w:rFonts w:ascii="Arial" w:hAnsi="Arial" w:cs="Arial"/>
          <w:b/>
          <w:bCs/>
          <w:color w:val="auto"/>
        </w:rPr>
        <w:t>3</w:t>
      </w:r>
      <w:r w:rsidR="0040589F">
        <w:rPr>
          <w:rFonts w:ascii="Arial" w:hAnsi="Arial" w:cs="Arial"/>
          <w:b/>
          <w:bCs/>
          <w:color w:val="auto"/>
        </w:rPr>
        <w:t>4</w:t>
      </w:r>
      <w:r>
        <w:rPr>
          <w:rFonts w:ascii="Arial" w:hAnsi="Arial" w:cs="Arial"/>
          <w:b/>
          <w:bCs/>
          <w:color w:val="auto"/>
        </w:rPr>
        <w:t>A</w:t>
      </w:r>
      <w:r w:rsidRPr="004726C5">
        <w:rPr>
          <w:rFonts w:ascii="Arial" w:hAnsi="Arial" w:cs="Arial"/>
          <w:b/>
          <w:bCs/>
          <w:color w:val="auto"/>
        </w:rPr>
        <w:t>.</w:t>
      </w:r>
      <w:r w:rsidRPr="004726C5">
        <w:rPr>
          <w:rFonts w:ascii="Arial" w:hAnsi="Arial" w:cs="Arial"/>
          <w:b/>
          <w:bCs/>
          <w:color w:val="auto"/>
        </w:rPr>
        <w:tab/>
      </w:r>
      <w:r w:rsidR="008C1A10">
        <w:rPr>
          <w:rFonts w:ascii="Arial" w:hAnsi="Arial" w:cs="Arial"/>
          <w:b/>
          <w:bCs/>
          <w:color w:val="auto"/>
        </w:rPr>
        <w:t>Monitoring b</w:t>
      </w:r>
      <w:r w:rsidR="00344574">
        <w:rPr>
          <w:rFonts w:ascii="Arial" w:hAnsi="Arial" w:cs="Arial"/>
          <w:b/>
          <w:bCs/>
          <w:color w:val="auto"/>
        </w:rPr>
        <w:t>y intermediaries</w:t>
      </w:r>
    </w:p>
    <w:p w14:paraId="47470224" w14:textId="20BEF74B" w:rsidR="00C122F6" w:rsidRDefault="0061385B" w:rsidP="0061385B">
      <w:pPr>
        <w:spacing w:before="240" w:after="120" w:line="247" w:lineRule="auto"/>
        <w:ind w:left="567" w:right="1185" w:firstLine="0"/>
      </w:pPr>
      <w:r w:rsidRPr="003144A8">
        <w:rPr>
          <w:color w:val="auto"/>
        </w:rPr>
        <w:t xml:space="preserve">The Commission </w:t>
      </w:r>
      <w:r>
        <w:rPr>
          <w:color w:val="auto"/>
        </w:rPr>
        <w:t xml:space="preserve">shall not issue a </w:t>
      </w:r>
      <w:r w:rsidR="00A43120">
        <w:rPr>
          <w:color w:val="auto"/>
        </w:rPr>
        <w:t xml:space="preserve">licence under this </w:t>
      </w:r>
      <w:r w:rsidR="00795C7B">
        <w:rPr>
          <w:color w:val="auto"/>
        </w:rPr>
        <w:t>Part</w:t>
      </w:r>
      <w:r w:rsidR="00934BF7">
        <w:rPr>
          <w:color w:val="auto"/>
        </w:rPr>
        <w:t xml:space="preserve"> unless it is satisfied that the applicant has rules</w:t>
      </w:r>
      <w:r w:rsidR="00D53A66">
        <w:rPr>
          <w:color w:val="auto"/>
        </w:rPr>
        <w:t xml:space="preserve">, controls </w:t>
      </w:r>
      <w:r w:rsidR="00934BF7">
        <w:rPr>
          <w:color w:val="auto"/>
        </w:rPr>
        <w:t xml:space="preserve">and systems </w:t>
      </w:r>
      <w:r w:rsidR="00673EE0">
        <w:rPr>
          <w:color w:val="auto"/>
        </w:rPr>
        <w:t>for</w:t>
      </w:r>
      <w:r w:rsidR="00D53A66">
        <w:rPr>
          <w:color w:val="auto"/>
        </w:rPr>
        <w:t xml:space="preserve"> monitoring</w:t>
      </w:r>
      <w:r w:rsidR="000A10AF">
        <w:rPr>
          <w:color w:val="auto"/>
        </w:rPr>
        <w:t xml:space="preserve">, </w:t>
      </w:r>
      <w:r w:rsidR="00D53A66">
        <w:rPr>
          <w:color w:val="auto"/>
        </w:rPr>
        <w:t>detecting</w:t>
      </w:r>
      <w:r w:rsidR="00C1441E">
        <w:rPr>
          <w:color w:val="auto"/>
        </w:rPr>
        <w:t xml:space="preserve"> and surveillance of </w:t>
      </w:r>
      <w:r w:rsidR="003C0129">
        <w:rPr>
          <w:color w:val="auto"/>
        </w:rPr>
        <w:t>market abuse</w:t>
      </w:r>
      <w:r w:rsidRPr="003144A8">
        <w:rPr>
          <w:color w:val="auto"/>
        </w:rPr>
        <w:t>.”.</w:t>
      </w:r>
    </w:p>
    <w:p w14:paraId="11A372F3" w14:textId="0AD78030" w:rsidR="00D429B3" w:rsidRDefault="00D429B3" w:rsidP="00B529D9">
      <w:pPr>
        <w:pStyle w:val="iLAWS300Article"/>
        <w:rPr>
          <w:rFonts w:ascii="Arial" w:eastAsia="Arial" w:hAnsi="Arial" w:cs="Arial"/>
        </w:rPr>
      </w:pPr>
      <w:bookmarkStart w:id="36" w:name="_Toc151283280"/>
      <w:bookmarkEnd w:id="35"/>
      <w:r>
        <w:rPr>
          <w:rFonts w:ascii="Arial" w:eastAsia="Arial" w:hAnsi="Arial" w:cs="Arial"/>
        </w:rPr>
        <w:t>1</w:t>
      </w:r>
      <w:r w:rsidR="0066709D">
        <w:rPr>
          <w:rFonts w:ascii="Arial" w:eastAsia="Arial" w:hAnsi="Arial" w:cs="Arial"/>
        </w:rPr>
        <w:t>3</w:t>
      </w:r>
      <w:r>
        <w:rPr>
          <w:rFonts w:ascii="Arial" w:eastAsia="Arial" w:hAnsi="Arial" w:cs="Arial"/>
        </w:rPr>
        <w:tab/>
        <w:t xml:space="preserve">Part </w:t>
      </w:r>
      <w:r w:rsidR="00224050">
        <w:rPr>
          <w:rFonts w:ascii="Arial" w:eastAsia="Arial" w:hAnsi="Arial" w:cs="Arial"/>
        </w:rPr>
        <w:t>III</w:t>
      </w:r>
      <w:r w:rsidR="00A23EC6">
        <w:rPr>
          <w:rFonts w:ascii="Arial" w:eastAsia="Arial" w:hAnsi="Arial" w:cs="Arial"/>
        </w:rPr>
        <w:t xml:space="preserve">, </w:t>
      </w:r>
      <w:r>
        <w:rPr>
          <w:rFonts w:ascii="Arial" w:eastAsia="Arial" w:hAnsi="Arial" w:cs="Arial"/>
        </w:rPr>
        <w:t xml:space="preserve">Sup-part </w:t>
      </w:r>
      <w:r w:rsidR="00A23EC6">
        <w:rPr>
          <w:rFonts w:ascii="Arial" w:eastAsia="Arial" w:hAnsi="Arial" w:cs="Arial"/>
        </w:rPr>
        <w:t>F amended</w:t>
      </w:r>
      <w:bookmarkEnd w:id="36"/>
    </w:p>
    <w:p w14:paraId="4367F7D2" w14:textId="2E300164" w:rsidR="00A23EC6" w:rsidRPr="004B30D7" w:rsidRDefault="00A23EC6" w:rsidP="000F1534">
      <w:pPr>
        <w:pStyle w:val="iLAWS310Paragraph"/>
      </w:pPr>
      <w:r>
        <w:t xml:space="preserve">In the heading in Part III, </w:t>
      </w:r>
      <w:r w:rsidR="000F4A80">
        <w:t>S</w:t>
      </w:r>
      <w:r>
        <w:t xml:space="preserve">ubpart </w:t>
      </w:r>
      <w:r w:rsidR="000F4A80">
        <w:t>F</w:t>
      </w:r>
      <w:r>
        <w:t xml:space="preserve"> after the word “annual” there is inserted the word</w:t>
      </w:r>
      <w:r w:rsidR="00B3238D">
        <w:t>s “or quarterly”.</w:t>
      </w:r>
      <w:r>
        <w:t xml:space="preserve"> </w:t>
      </w:r>
    </w:p>
    <w:p w14:paraId="26AB9D88" w14:textId="026DF141" w:rsidR="00B529D9" w:rsidRPr="00441EF3" w:rsidRDefault="00CF2142" w:rsidP="00B529D9">
      <w:pPr>
        <w:pStyle w:val="iLAWS300Article"/>
        <w:rPr>
          <w:rFonts w:ascii="Arial" w:hAnsi="Arial" w:cs="Arial"/>
        </w:rPr>
      </w:pPr>
      <w:bookmarkStart w:id="37" w:name="_Toc151283281"/>
      <w:r>
        <w:rPr>
          <w:rFonts w:ascii="Arial" w:eastAsia="Arial" w:hAnsi="Arial" w:cs="Arial"/>
        </w:rPr>
        <w:t>1</w:t>
      </w:r>
      <w:r w:rsidR="0066709D">
        <w:rPr>
          <w:rFonts w:ascii="Arial" w:eastAsia="Arial" w:hAnsi="Arial" w:cs="Arial"/>
        </w:rPr>
        <w:t>4</w:t>
      </w:r>
      <w:r>
        <w:rPr>
          <w:rFonts w:ascii="Arial" w:eastAsia="Arial" w:hAnsi="Arial" w:cs="Arial"/>
        </w:rPr>
        <w:tab/>
      </w:r>
      <w:r w:rsidR="00B529D9" w:rsidRPr="00441EF3">
        <w:rPr>
          <w:rFonts w:ascii="Arial" w:eastAsia="Arial" w:hAnsi="Arial" w:cs="Arial"/>
        </w:rPr>
        <w:t xml:space="preserve">Section </w:t>
      </w:r>
      <w:r w:rsidR="00B529D9">
        <w:rPr>
          <w:rFonts w:ascii="Arial" w:eastAsia="Arial" w:hAnsi="Arial" w:cs="Arial"/>
        </w:rPr>
        <w:t>55</w:t>
      </w:r>
      <w:r w:rsidR="00B529D9" w:rsidRPr="00441EF3">
        <w:rPr>
          <w:rFonts w:ascii="Arial" w:eastAsia="Arial" w:hAnsi="Arial" w:cs="Arial"/>
        </w:rPr>
        <w:t xml:space="preserve"> of the principal Act </w:t>
      </w:r>
      <w:r w:rsidR="00B529D9">
        <w:rPr>
          <w:rFonts w:ascii="Arial" w:eastAsia="Arial" w:hAnsi="Arial" w:cs="Arial"/>
        </w:rPr>
        <w:t>amended</w:t>
      </w:r>
      <w:bookmarkEnd w:id="37"/>
    </w:p>
    <w:p w14:paraId="0921D4CF" w14:textId="0FB61283" w:rsidR="00150C28" w:rsidRDefault="00B529D9" w:rsidP="00B529D9">
      <w:pPr>
        <w:spacing w:before="240" w:after="120" w:line="247" w:lineRule="auto"/>
        <w:ind w:left="567" w:right="1185" w:firstLine="0"/>
      </w:pPr>
      <w:r>
        <w:t>Section 55 of the principal Act is amended</w:t>
      </w:r>
      <w:r w:rsidR="00610A2F">
        <w:t>—</w:t>
      </w:r>
    </w:p>
    <w:p w14:paraId="57B65CA1" w14:textId="1BA3D3D9" w:rsidR="00150C28" w:rsidRDefault="009F39A0" w:rsidP="00302AE0">
      <w:pPr>
        <w:pStyle w:val="ListParagraph"/>
        <w:numPr>
          <w:ilvl w:val="0"/>
          <w:numId w:val="19"/>
        </w:numPr>
        <w:spacing w:before="240" w:after="120" w:line="247" w:lineRule="auto"/>
        <w:ind w:right="1185"/>
      </w:pPr>
      <w:r>
        <w:t xml:space="preserve">in subsection (1) </w:t>
      </w:r>
      <w:r w:rsidR="00323774">
        <w:t>after the words “annual report” by inserting the words “</w:t>
      </w:r>
      <w:r w:rsidR="00B12E65">
        <w:t xml:space="preserve">, </w:t>
      </w:r>
      <w:r w:rsidR="00323774">
        <w:t xml:space="preserve">in the form approved by the </w:t>
      </w:r>
      <w:r w:rsidR="00B12E65">
        <w:t>Commission,”</w:t>
      </w:r>
      <w:r w:rsidR="00302AE0">
        <w:t>;</w:t>
      </w:r>
    </w:p>
    <w:p w14:paraId="20C73077" w14:textId="56F0EB94" w:rsidR="00B529D9" w:rsidRDefault="00B529D9" w:rsidP="00302AE0">
      <w:pPr>
        <w:pStyle w:val="ListParagraph"/>
        <w:numPr>
          <w:ilvl w:val="0"/>
          <w:numId w:val="19"/>
        </w:numPr>
        <w:spacing w:before="240" w:after="120" w:line="247" w:lineRule="auto"/>
        <w:ind w:left="924" w:right="1185" w:hanging="357"/>
        <w:contextualSpacing w:val="0"/>
      </w:pPr>
      <w:r>
        <w:t xml:space="preserve">by inserting after subsection </w:t>
      </w:r>
      <w:r w:rsidR="004A529B">
        <w:t>(</w:t>
      </w:r>
      <w:r>
        <w:t>1</w:t>
      </w:r>
      <w:r w:rsidR="004A529B">
        <w:t>)</w:t>
      </w:r>
      <w:r>
        <w:t>(b) the following paragraph</w:t>
      </w:r>
      <w:r w:rsidR="00BC4F85">
        <w:t>s</w:t>
      </w:r>
      <w:r>
        <w:t>—</w:t>
      </w:r>
    </w:p>
    <w:p w14:paraId="64619C4D" w14:textId="738A6B3F" w:rsidR="00E86811" w:rsidRDefault="00BC4F85" w:rsidP="00E86811">
      <w:pPr>
        <w:tabs>
          <w:tab w:val="left" w:pos="1701"/>
        </w:tabs>
        <w:spacing w:after="0" w:line="259" w:lineRule="auto"/>
        <w:ind w:left="1701" w:hanging="695"/>
        <w:jc w:val="left"/>
      </w:pPr>
      <w:r>
        <w:t>“</w:t>
      </w:r>
      <w:r w:rsidR="00B554F3">
        <w:t>(ba)</w:t>
      </w:r>
      <w:r w:rsidR="004A4D4D">
        <w:tab/>
      </w:r>
      <w:r w:rsidR="00B529D9" w:rsidRPr="00B529D9">
        <w:t>information regarding related party transactions, investment selection and liquidity risks for the reporting period</w:t>
      </w:r>
      <w:r>
        <w:t>;</w:t>
      </w:r>
    </w:p>
    <w:p w14:paraId="707F6D41" w14:textId="70757049" w:rsidR="00D53A73" w:rsidRDefault="00D53A73" w:rsidP="00E86811">
      <w:pPr>
        <w:tabs>
          <w:tab w:val="left" w:pos="1701"/>
        </w:tabs>
        <w:spacing w:after="0" w:line="259" w:lineRule="auto"/>
        <w:ind w:left="1701" w:hanging="695"/>
        <w:jc w:val="left"/>
      </w:pPr>
      <w:r w:rsidRPr="004B30D7">
        <w:t>(bb)</w:t>
      </w:r>
      <w:r w:rsidRPr="004B30D7">
        <w:tab/>
        <w:t xml:space="preserve">a certificate of capital adequacy </w:t>
      </w:r>
      <w:r w:rsidR="004A4D4D" w:rsidRPr="004B30D7">
        <w:t>based on risk;</w:t>
      </w:r>
      <w:r w:rsidR="00BC4F85" w:rsidRPr="004B30D7">
        <w:t>”.</w:t>
      </w:r>
    </w:p>
    <w:p w14:paraId="21307136" w14:textId="263A2CB1" w:rsidR="00B3238D" w:rsidRPr="00441EF3" w:rsidRDefault="00D62DAB" w:rsidP="00B3238D">
      <w:pPr>
        <w:pStyle w:val="iLAWS300Article"/>
        <w:rPr>
          <w:rFonts w:ascii="Arial" w:hAnsi="Arial" w:cs="Arial"/>
        </w:rPr>
      </w:pPr>
      <w:bookmarkStart w:id="38" w:name="_Toc151283282"/>
      <w:r>
        <w:rPr>
          <w:rFonts w:ascii="Arial" w:eastAsia="Arial" w:hAnsi="Arial" w:cs="Arial"/>
        </w:rPr>
        <w:t>1</w:t>
      </w:r>
      <w:r w:rsidR="0066709D">
        <w:rPr>
          <w:rFonts w:ascii="Arial" w:eastAsia="Arial" w:hAnsi="Arial" w:cs="Arial"/>
        </w:rPr>
        <w:t>5</w:t>
      </w:r>
      <w:r w:rsidR="00B3238D">
        <w:rPr>
          <w:rFonts w:ascii="Arial" w:eastAsia="Arial" w:hAnsi="Arial" w:cs="Arial"/>
        </w:rPr>
        <w:tab/>
      </w:r>
      <w:r w:rsidR="00B3238D" w:rsidRPr="00441EF3">
        <w:rPr>
          <w:rFonts w:ascii="Arial" w:eastAsia="Arial" w:hAnsi="Arial" w:cs="Arial"/>
        </w:rPr>
        <w:t xml:space="preserve">Section </w:t>
      </w:r>
      <w:r w:rsidR="00B3238D">
        <w:rPr>
          <w:rFonts w:ascii="Arial" w:eastAsia="Arial" w:hAnsi="Arial" w:cs="Arial"/>
        </w:rPr>
        <w:t>55A</w:t>
      </w:r>
      <w:r w:rsidR="00B3238D" w:rsidRPr="00441EF3">
        <w:rPr>
          <w:rFonts w:ascii="Arial" w:eastAsia="Arial" w:hAnsi="Arial" w:cs="Arial"/>
        </w:rPr>
        <w:t xml:space="preserve"> of the principal Act </w:t>
      </w:r>
      <w:r w:rsidR="00B3238D">
        <w:rPr>
          <w:rFonts w:ascii="Arial" w:eastAsia="Arial" w:hAnsi="Arial" w:cs="Arial"/>
        </w:rPr>
        <w:t>inserted</w:t>
      </w:r>
      <w:bookmarkEnd w:id="38"/>
    </w:p>
    <w:p w14:paraId="5A73DC10" w14:textId="1971887F" w:rsidR="00B3238D" w:rsidRDefault="00857FB8" w:rsidP="00B3238D">
      <w:pPr>
        <w:spacing w:before="240" w:after="120" w:line="247" w:lineRule="auto"/>
        <w:ind w:left="567" w:right="1185" w:firstLine="0"/>
      </w:pPr>
      <w:r>
        <w:t xml:space="preserve">The principal Act is amended by inserting after section 55, the following </w:t>
      </w:r>
      <w:r w:rsidR="00225BDD">
        <w:t xml:space="preserve">new </w:t>
      </w:r>
      <w:r>
        <w:t>sectio</w:t>
      </w:r>
      <w:r w:rsidR="000F4A80">
        <w:t>n</w:t>
      </w:r>
      <w:r w:rsidR="00B3238D">
        <w:t>—</w:t>
      </w:r>
    </w:p>
    <w:p w14:paraId="5773A78F" w14:textId="35672426" w:rsidR="000F4A80" w:rsidRDefault="000F4A80" w:rsidP="000F4A80">
      <w:pPr>
        <w:spacing w:before="240" w:after="120" w:line="247" w:lineRule="auto"/>
        <w:ind w:left="567" w:right="1185" w:firstLine="0"/>
        <w:rPr>
          <w:b/>
          <w:bCs/>
        </w:rPr>
      </w:pPr>
      <w:r w:rsidRPr="000F4A80">
        <w:rPr>
          <w:b/>
          <w:bCs/>
        </w:rPr>
        <w:t>“</w:t>
      </w:r>
      <w:r w:rsidRPr="00DF292B">
        <w:rPr>
          <w:rFonts w:ascii="Arial" w:hAnsi="Arial" w:cs="Arial"/>
          <w:b/>
          <w:bCs/>
        </w:rPr>
        <w:t>55A</w:t>
      </w:r>
      <w:r w:rsidRPr="00DF292B">
        <w:rPr>
          <w:rFonts w:ascii="Arial" w:hAnsi="Arial" w:cs="Arial"/>
          <w:b/>
          <w:bCs/>
        </w:rPr>
        <w:tab/>
        <w:t>Quarterly reports</w:t>
      </w:r>
    </w:p>
    <w:p w14:paraId="1A043715" w14:textId="5A46C133" w:rsidR="003E5E2F" w:rsidRPr="003E5E2F" w:rsidRDefault="004B30D7" w:rsidP="00B90ABA">
      <w:pPr>
        <w:numPr>
          <w:ilvl w:val="0"/>
          <w:numId w:val="23"/>
        </w:numPr>
        <w:tabs>
          <w:tab w:val="left" w:pos="1000"/>
          <w:tab w:val="left" w:pos="1701"/>
        </w:tabs>
        <w:spacing w:after="120"/>
        <w:ind w:right="819" w:hanging="291"/>
      </w:pPr>
      <w:r>
        <w:t xml:space="preserve">An investment dealer </w:t>
      </w:r>
      <w:r w:rsidR="003E5E2F" w:rsidRPr="003E5E2F">
        <w:t xml:space="preserve">and a corporation licensed as an investment adviser shall file with the Commission, </w:t>
      </w:r>
      <w:r w:rsidR="00A02EE5">
        <w:t xml:space="preserve">quarterly reports </w:t>
      </w:r>
      <w:r w:rsidR="003E5E2F" w:rsidRPr="003E5E2F">
        <w:t>in the form approved by the Commission which shall include—</w:t>
      </w:r>
    </w:p>
    <w:p w14:paraId="5DF595D7" w14:textId="18F4FAB4" w:rsidR="003E5E2F" w:rsidRPr="003E5E2F" w:rsidRDefault="003E5E2F" w:rsidP="00080F29">
      <w:pPr>
        <w:numPr>
          <w:ilvl w:val="1"/>
          <w:numId w:val="23"/>
        </w:numPr>
        <w:tabs>
          <w:tab w:val="left" w:pos="2694"/>
        </w:tabs>
        <w:spacing w:after="0"/>
        <w:ind w:left="1701" w:right="551" w:hanging="567"/>
      </w:pPr>
      <w:r w:rsidRPr="003E5E2F">
        <w:t>financial statements prepared in accordance with IFRS and such other standards as may be issued under the Financial Reporting Act;</w:t>
      </w:r>
    </w:p>
    <w:p w14:paraId="31823F3C" w14:textId="57AE5A6B" w:rsidR="003E5E2F" w:rsidRPr="003E5E2F" w:rsidRDefault="003E5E2F" w:rsidP="00080F29">
      <w:pPr>
        <w:spacing w:after="0"/>
        <w:ind w:left="1701" w:right="551" w:hanging="567"/>
      </w:pPr>
      <w:r w:rsidRPr="003E5E2F">
        <w:t>(b)</w:t>
      </w:r>
      <w:r w:rsidR="005428C0">
        <w:tab/>
      </w:r>
      <w:r w:rsidRPr="003E5E2F">
        <w:t>information regarding related party transactions, investment selection and liquidity risks for the reporting period;</w:t>
      </w:r>
    </w:p>
    <w:p w14:paraId="7004D434" w14:textId="56CF9A8E" w:rsidR="00BD6FB5" w:rsidRDefault="005428C0" w:rsidP="00BD6FB5">
      <w:pPr>
        <w:tabs>
          <w:tab w:val="left" w:pos="1134"/>
          <w:tab w:val="left" w:pos="1985"/>
        </w:tabs>
        <w:spacing w:after="0"/>
        <w:ind w:left="1701" w:right="551" w:hanging="567"/>
      </w:pPr>
      <w:r>
        <w:t>(c)</w:t>
      </w:r>
      <w:r w:rsidR="003E5E2F" w:rsidRPr="003E5E2F">
        <w:tab/>
        <w:t>certificate of capital adequacy based on risk;</w:t>
      </w:r>
    </w:p>
    <w:p w14:paraId="1EBB74B7" w14:textId="5AD8F13E" w:rsidR="00BD6FB5" w:rsidRDefault="00BD6FB5" w:rsidP="00BD6FB5">
      <w:pPr>
        <w:tabs>
          <w:tab w:val="left" w:pos="1134"/>
          <w:tab w:val="left" w:pos="1985"/>
        </w:tabs>
        <w:spacing w:after="0"/>
        <w:ind w:left="1701" w:right="551" w:hanging="567"/>
      </w:pPr>
      <w:r>
        <w:t>(d)</w:t>
      </w:r>
      <w:r>
        <w:tab/>
      </w:r>
      <w:r w:rsidR="003E5E2F" w:rsidRPr="003E5E2F">
        <w:t>such other requirements as may be specified in FSC Rules; and</w:t>
      </w:r>
    </w:p>
    <w:p w14:paraId="2D4DBB15" w14:textId="0B666FF1" w:rsidR="00080F29" w:rsidRDefault="00080F29" w:rsidP="00080F29">
      <w:pPr>
        <w:tabs>
          <w:tab w:val="left" w:pos="1134"/>
          <w:tab w:val="left" w:pos="1985"/>
        </w:tabs>
        <w:spacing w:after="0"/>
        <w:ind w:left="1701" w:right="551" w:hanging="567"/>
      </w:pPr>
      <w:r>
        <w:t>(e)</w:t>
      </w:r>
      <w:r>
        <w:tab/>
      </w:r>
      <w:r w:rsidR="003E5E2F" w:rsidRPr="003E5E2F">
        <w:t>consolidated financial statements where the investment dealer or investment adviser is a holding company or a subsidiary</w:t>
      </w:r>
      <w:r w:rsidR="00EB368C">
        <w:t>;</w:t>
      </w:r>
      <w:r>
        <w:t xml:space="preserve"> and</w:t>
      </w:r>
    </w:p>
    <w:p w14:paraId="77DEABA7" w14:textId="6ED0ECBC" w:rsidR="003E5E2F" w:rsidRPr="003E5E2F" w:rsidRDefault="00080F29" w:rsidP="00080F29">
      <w:pPr>
        <w:tabs>
          <w:tab w:val="left" w:pos="1134"/>
          <w:tab w:val="left" w:pos="1985"/>
        </w:tabs>
        <w:spacing w:after="0"/>
        <w:ind w:left="1701" w:right="551" w:hanging="567"/>
      </w:pPr>
      <w:r>
        <w:t>(f)</w:t>
      </w:r>
      <w:r>
        <w:tab/>
      </w:r>
      <w:r w:rsidR="00EB368C">
        <w:t>any other information required by the Commission</w:t>
      </w:r>
      <w:r w:rsidR="00822E1F">
        <w:t>.</w:t>
      </w:r>
    </w:p>
    <w:p w14:paraId="6BB04202" w14:textId="43CB47B1" w:rsidR="00B90ABA" w:rsidRDefault="00B90ABA" w:rsidP="00913ACF">
      <w:pPr>
        <w:numPr>
          <w:ilvl w:val="0"/>
          <w:numId w:val="23"/>
        </w:numPr>
        <w:spacing w:before="120" w:after="120" w:line="240" w:lineRule="auto"/>
        <w:ind w:left="998" w:right="816" w:hanging="289"/>
      </w:pPr>
      <w:r>
        <w:t>Any person who contravenes any of the provision of this section shall commit an offence and shall, on conviction, be liable to a fine not exceeding 500,000 rupees.”.</w:t>
      </w:r>
    </w:p>
    <w:p w14:paraId="79EA421D" w14:textId="1733AC02" w:rsidR="003E48B4" w:rsidRPr="00441EF3" w:rsidRDefault="002949F2" w:rsidP="003E48B4">
      <w:pPr>
        <w:pStyle w:val="iLAWS300Article"/>
        <w:rPr>
          <w:rFonts w:ascii="Arial" w:hAnsi="Arial" w:cs="Arial"/>
        </w:rPr>
      </w:pPr>
      <w:bookmarkStart w:id="39" w:name="_Toc151283283"/>
      <w:r>
        <w:rPr>
          <w:rFonts w:ascii="Arial" w:eastAsia="Arial" w:hAnsi="Arial" w:cs="Arial"/>
        </w:rPr>
        <w:t>1</w:t>
      </w:r>
      <w:r w:rsidR="0066709D">
        <w:rPr>
          <w:rFonts w:ascii="Arial" w:eastAsia="Arial" w:hAnsi="Arial" w:cs="Arial"/>
        </w:rPr>
        <w:t>6</w:t>
      </w:r>
      <w:r w:rsidR="003E48B4" w:rsidRPr="00441EF3">
        <w:rPr>
          <w:rFonts w:ascii="Arial" w:eastAsia="Arial" w:hAnsi="Arial" w:cs="Arial"/>
        </w:rPr>
        <w:tab/>
        <w:t>Section 7</w:t>
      </w:r>
      <w:r w:rsidR="003E48B4">
        <w:rPr>
          <w:rFonts w:ascii="Arial" w:eastAsia="Arial" w:hAnsi="Arial" w:cs="Arial"/>
        </w:rPr>
        <w:t>0</w:t>
      </w:r>
      <w:r w:rsidR="003E48B4" w:rsidRPr="00441EF3">
        <w:rPr>
          <w:rFonts w:ascii="Arial" w:eastAsia="Arial" w:hAnsi="Arial" w:cs="Arial"/>
        </w:rPr>
        <w:t xml:space="preserve"> of the principal Act </w:t>
      </w:r>
      <w:r w:rsidR="003E48B4">
        <w:rPr>
          <w:rFonts w:ascii="Arial" w:eastAsia="Arial" w:hAnsi="Arial" w:cs="Arial"/>
        </w:rPr>
        <w:t>amended</w:t>
      </w:r>
      <w:bookmarkEnd w:id="39"/>
    </w:p>
    <w:p w14:paraId="2AF73BA9" w14:textId="1D194A46" w:rsidR="003E48B4" w:rsidRDefault="0074186B" w:rsidP="003E48B4">
      <w:pPr>
        <w:spacing w:before="240" w:after="120" w:line="247" w:lineRule="auto"/>
        <w:ind w:left="567" w:right="1168" w:firstLine="0"/>
        <w:rPr>
          <w:rFonts w:eastAsia="Calibri"/>
        </w:rPr>
      </w:pPr>
      <w:r>
        <w:rPr>
          <w:rFonts w:eastAsia="Calibri"/>
        </w:rPr>
        <w:t>Section 70 of the pri</w:t>
      </w:r>
      <w:r w:rsidR="003E48B4">
        <w:rPr>
          <w:rFonts w:eastAsia="Calibri"/>
        </w:rPr>
        <w:t xml:space="preserve">ncipal Act is </w:t>
      </w:r>
      <w:r>
        <w:rPr>
          <w:rFonts w:eastAsia="Calibri"/>
        </w:rPr>
        <w:t xml:space="preserve">amended by inserting after subsection </w:t>
      </w:r>
      <w:r w:rsidR="004A529B">
        <w:rPr>
          <w:rFonts w:eastAsia="Calibri"/>
        </w:rPr>
        <w:t xml:space="preserve">(5) </w:t>
      </w:r>
      <w:r w:rsidR="003E48B4">
        <w:rPr>
          <w:rFonts w:eastAsia="Calibri"/>
        </w:rPr>
        <w:t xml:space="preserve">following </w:t>
      </w:r>
      <w:r w:rsidR="004A529B">
        <w:rPr>
          <w:rFonts w:eastAsia="Calibri"/>
        </w:rPr>
        <w:t>sub</w:t>
      </w:r>
      <w:r w:rsidR="003E48B4">
        <w:rPr>
          <w:rFonts w:eastAsia="Calibri"/>
        </w:rPr>
        <w:t>section</w:t>
      </w:r>
      <w:r w:rsidR="003E48B4">
        <w:t>—</w:t>
      </w:r>
    </w:p>
    <w:p w14:paraId="300D4DE9" w14:textId="51D3F4A8" w:rsidR="003E48B4" w:rsidRPr="003E48B4" w:rsidRDefault="004A529B" w:rsidP="003E48B4">
      <w:pPr>
        <w:spacing w:after="0" w:line="259" w:lineRule="auto"/>
        <w:ind w:left="1006" w:firstLine="0"/>
        <w:jc w:val="left"/>
      </w:pPr>
      <w:r w:rsidRPr="00913ACF">
        <w:t>“(6)</w:t>
      </w:r>
      <w:r w:rsidRPr="00913ACF">
        <w:tab/>
      </w:r>
      <w:r w:rsidR="003E48B4" w:rsidRPr="00913ACF">
        <w:t>Where a prospectus is not required under this section the offering document shall contain information</w:t>
      </w:r>
      <w:r w:rsidR="003E48B4" w:rsidRPr="003234DE">
        <w:t xml:space="preserve"> set out in the FSC Rules.</w:t>
      </w:r>
      <w:r w:rsidRPr="003234DE">
        <w:t>”.</w:t>
      </w:r>
    </w:p>
    <w:p w14:paraId="56C821FB" w14:textId="0FD437A0" w:rsidR="00B27F81" w:rsidRPr="00441EF3" w:rsidRDefault="007F0B39" w:rsidP="00441EF3">
      <w:pPr>
        <w:pStyle w:val="iLAWS300Article"/>
        <w:rPr>
          <w:rFonts w:ascii="Arial" w:hAnsi="Arial" w:cs="Arial"/>
        </w:rPr>
      </w:pPr>
      <w:bookmarkStart w:id="40" w:name="_Toc151283284"/>
      <w:r>
        <w:rPr>
          <w:rStyle w:val="iLAWS914ArticleNumber"/>
          <w:rFonts w:ascii="Arial" w:eastAsia="Arial" w:hAnsi="Arial" w:cs="Arial"/>
        </w:rPr>
        <w:t>1</w:t>
      </w:r>
      <w:r w:rsidR="0066709D">
        <w:rPr>
          <w:rStyle w:val="iLAWS914ArticleNumber"/>
          <w:rFonts w:ascii="Arial" w:eastAsia="Arial" w:hAnsi="Arial" w:cs="Arial"/>
        </w:rPr>
        <w:t>7</w:t>
      </w:r>
      <w:bookmarkStart w:id="41" w:name="_Hlk147690516"/>
      <w:r w:rsidR="00A3753F" w:rsidRPr="00441EF3">
        <w:rPr>
          <w:rFonts w:ascii="Arial" w:eastAsia="Arial" w:hAnsi="Arial" w:cs="Arial"/>
        </w:rPr>
        <w:tab/>
      </w:r>
      <w:r w:rsidR="00B27F81" w:rsidRPr="00441EF3">
        <w:rPr>
          <w:rFonts w:ascii="Arial" w:eastAsia="Arial" w:hAnsi="Arial" w:cs="Arial"/>
        </w:rPr>
        <w:t xml:space="preserve">Section </w:t>
      </w:r>
      <w:r w:rsidR="00AE3AD0" w:rsidRPr="00441EF3">
        <w:rPr>
          <w:rFonts w:ascii="Arial" w:eastAsia="Arial" w:hAnsi="Arial" w:cs="Arial"/>
        </w:rPr>
        <w:t>71</w:t>
      </w:r>
      <w:r w:rsidR="00B27F81" w:rsidRPr="00441EF3">
        <w:rPr>
          <w:rFonts w:ascii="Arial" w:eastAsia="Arial" w:hAnsi="Arial" w:cs="Arial"/>
        </w:rPr>
        <w:t xml:space="preserve"> of the principal Act </w:t>
      </w:r>
      <w:bookmarkEnd w:id="33"/>
      <w:r w:rsidR="002A6298">
        <w:rPr>
          <w:rFonts w:ascii="Arial" w:eastAsia="Arial" w:hAnsi="Arial" w:cs="Arial"/>
        </w:rPr>
        <w:t>repeal and replace</w:t>
      </w:r>
      <w:r w:rsidR="00751753">
        <w:rPr>
          <w:rFonts w:ascii="Arial" w:eastAsia="Arial" w:hAnsi="Arial" w:cs="Arial"/>
        </w:rPr>
        <w:t>d</w:t>
      </w:r>
      <w:bookmarkEnd w:id="40"/>
    </w:p>
    <w:bookmarkEnd w:id="34"/>
    <w:p w14:paraId="3BFD9DA9" w14:textId="6E4311B4" w:rsidR="00695D8C" w:rsidRDefault="00675BCD" w:rsidP="00441EF3">
      <w:pPr>
        <w:spacing w:before="240" w:after="120" w:line="247" w:lineRule="auto"/>
        <w:ind w:left="567" w:right="1168" w:firstLine="0"/>
        <w:rPr>
          <w:rFonts w:eastAsia="Calibri"/>
        </w:rPr>
      </w:pPr>
      <w:r w:rsidRPr="00675BCD">
        <w:rPr>
          <w:rFonts w:eastAsia="Calibri"/>
        </w:rPr>
        <w:t>Se</w:t>
      </w:r>
      <w:r>
        <w:rPr>
          <w:rFonts w:eastAsia="Calibri"/>
        </w:rPr>
        <w:t xml:space="preserve">ction </w:t>
      </w:r>
      <w:r w:rsidR="00AE3AD0">
        <w:rPr>
          <w:rFonts w:eastAsia="Calibri"/>
        </w:rPr>
        <w:t>71</w:t>
      </w:r>
      <w:r>
        <w:rPr>
          <w:rFonts w:eastAsia="Calibri"/>
        </w:rPr>
        <w:t xml:space="preserve"> of the </w:t>
      </w:r>
      <w:r w:rsidR="008409B2">
        <w:rPr>
          <w:rFonts w:eastAsia="Calibri"/>
        </w:rPr>
        <w:t xml:space="preserve">principal Act is </w:t>
      </w:r>
      <w:r w:rsidR="00695D8C">
        <w:rPr>
          <w:rFonts w:eastAsia="Calibri"/>
        </w:rPr>
        <w:t>repealed and replaced by the following section</w:t>
      </w:r>
      <w:r w:rsidR="00D70744">
        <w:t>—</w:t>
      </w:r>
    </w:p>
    <w:bookmarkEnd w:id="41"/>
    <w:p w14:paraId="3184183D" w14:textId="1E0B2206" w:rsidR="00F26D13" w:rsidRPr="009E1CA3" w:rsidRDefault="00F26D13" w:rsidP="004A5BD5">
      <w:pPr>
        <w:tabs>
          <w:tab w:val="left" w:pos="1134"/>
        </w:tabs>
        <w:ind w:firstLine="559"/>
        <w:rPr>
          <w:rFonts w:ascii="Arial" w:hAnsi="Arial" w:cs="Arial"/>
          <w:b/>
          <w:bCs/>
        </w:rPr>
      </w:pPr>
      <w:r w:rsidRPr="00A07B96">
        <w:rPr>
          <w:b/>
          <w:bCs/>
        </w:rPr>
        <w:t>“</w:t>
      </w:r>
      <w:r w:rsidRPr="009E1CA3">
        <w:rPr>
          <w:rFonts w:ascii="Arial" w:hAnsi="Arial" w:cs="Arial"/>
          <w:b/>
          <w:bCs/>
        </w:rPr>
        <w:t>71.</w:t>
      </w:r>
      <w:r w:rsidR="00BE4266" w:rsidRPr="009E1CA3">
        <w:rPr>
          <w:rFonts w:ascii="Arial" w:hAnsi="Arial" w:cs="Arial"/>
          <w:b/>
          <w:bCs/>
        </w:rPr>
        <w:tab/>
      </w:r>
      <w:r w:rsidRPr="009E1CA3">
        <w:rPr>
          <w:rFonts w:ascii="Arial" w:hAnsi="Arial" w:cs="Arial"/>
          <w:b/>
          <w:bCs/>
        </w:rPr>
        <w:t>General requirements</w:t>
      </w:r>
    </w:p>
    <w:p w14:paraId="33A2A238" w14:textId="2C250EEE" w:rsidR="00F26D13" w:rsidRPr="00F26D13" w:rsidRDefault="00F26D13" w:rsidP="00DD2E11">
      <w:pPr>
        <w:pStyle w:val="iLAWS301Paragraphunnumbered"/>
      </w:pPr>
      <w:r w:rsidRPr="00F26D13">
        <w:t>A prospectus shall be in the form prescribed in the FSC Rules and shall</w:t>
      </w:r>
      <w:r w:rsidRPr="00695D8C">
        <w:rPr>
          <w:rFonts w:eastAsia="Calibri"/>
        </w:rPr>
        <w:t>—</w:t>
      </w:r>
    </w:p>
    <w:p w14:paraId="1D513CFB" w14:textId="24BA96A1" w:rsidR="00695D8C" w:rsidRPr="00695D8C" w:rsidRDefault="00695D8C" w:rsidP="00DD2E11">
      <w:pPr>
        <w:numPr>
          <w:ilvl w:val="0"/>
          <w:numId w:val="6"/>
        </w:numPr>
        <w:tabs>
          <w:tab w:val="left" w:pos="1701"/>
        </w:tabs>
        <w:ind w:left="1701" w:hanging="567"/>
        <w:rPr>
          <w:rFonts w:eastAsia="Calibri"/>
        </w:rPr>
      </w:pPr>
      <w:r w:rsidRPr="00695D8C">
        <w:rPr>
          <w:rFonts w:eastAsia="Calibri"/>
        </w:rPr>
        <w:t xml:space="preserve">provide </w:t>
      </w:r>
      <w:bookmarkStart w:id="42" w:name="_Hlk151285043"/>
      <w:r w:rsidRPr="00695D8C">
        <w:rPr>
          <w:rFonts w:eastAsia="Calibri"/>
        </w:rPr>
        <w:t xml:space="preserve">full, true and plain disclosure </w:t>
      </w:r>
      <w:bookmarkEnd w:id="42"/>
      <w:r w:rsidRPr="00695D8C">
        <w:rPr>
          <w:rFonts w:eastAsia="Calibri"/>
        </w:rPr>
        <w:t>of all material facts concerning the securities to be offered and the person offering the securities, without omitting anything that would be required to allow investors to make an informed assessment of—</w:t>
      </w:r>
    </w:p>
    <w:p w14:paraId="54C6B28A" w14:textId="77777777" w:rsidR="00F26D13" w:rsidRDefault="00695D8C" w:rsidP="00DD2E11">
      <w:pPr>
        <w:pStyle w:val="ListParagraph"/>
        <w:numPr>
          <w:ilvl w:val="3"/>
          <w:numId w:val="7"/>
        </w:numPr>
        <w:tabs>
          <w:tab w:val="left" w:pos="1701"/>
        </w:tabs>
        <w:ind w:left="2268" w:hanging="567"/>
        <w:rPr>
          <w:rFonts w:eastAsia="Calibri"/>
        </w:rPr>
      </w:pPr>
      <w:r w:rsidRPr="00F26D13">
        <w:rPr>
          <w:rFonts w:eastAsia="Calibri"/>
        </w:rPr>
        <w:t>the assets and liabilities, financial position, profits and losses and prospects of the issuer of the securities; and</w:t>
      </w:r>
    </w:p>
    <w:p w14:paraId="509D1C0F" w14:textId="7DAEA8D1" w:rsidR="00695D8C" w:rsidRDefault="00695D8C" w:rsidP="00DD2E11">
      <w:pPr>
        <w:pStyle w:val="ListParagraph"/>
        <w:numPr>
          <w:ilvl w:val="3"/>
          <w:numId w:val="7"/>
        </w:numPr>
        <w:tabs>
          <w:tab w:val="left" w:pos="1701"/>
          <w:tab w:val="left" w:pos="2880"/>
        </w:tabs>
        <w:ind w:left="2268" w:hanging="567"/>
        <w:rPr>
          <w:rFonts w:eastAsia="Calibri"/>
        </w:rPr>
      </w:pPr>
      <w:r w:rsidRPr="00F26D13">
        <w:rPr>
          <w:rFonts w:eastAsia="Calibri"/>
        </w:rPr>
        <w:t>the rights and liabilities attaching to the securities</w:t>
      </w:r>
      <w:r w:rsidR="00BE4266">
        <w:rPr>
          <w:rFonts w:eastAsia="Calibri"/>
        </w:rPr>
        <w:t>;</w:t>
      </w:r>
    </w:p>
    <w:p w14:paraId="5C3C8370" w14:textId="11E58161" w:rsidR="00695D8C" w:rsidRPr="00695D8C" w:rsidRDefault="00695D8C" w:rsidP="00DD2E11">
      <w:pPr>
        <w:tabs>
          <w:tab w:val="left" w:pos="1701"/>
        </w:tabs>
        <w:ind w:left="1701" w:hanging="567"/>
        <w:rPr>
          <w:rFonts w:eastAsia="Calibri"/>
        </w:rPr>
      </w:pPr>
      <w:r w:rsidRPr="00695D8C">
        <w:rPr>
          <w:rFonts w:eastAsia="Calibri"/>
        </w:rPr>
        <w:t>(b)</w:t>
      </w:r>
      <w:r w:rsidR="00F26D13">
        <w:rPr>
          <w:rFonts w:eastAsia="Calibri"/>
        </w:rPr>
        <w:tab/>
      </w:r>
      <w:r w:rsidRPr="00695D8C">
        <w:rPr>
          <w:rFonts w:eastAsia="Calibri"/>
        </w:rPr>
        <w:t>contain</w:t>
      </w:r>
      <w:r w:rsidR="00CD4C46">
        <w:rPr>
          <w:rFonts w:eastAsia="Calibri"/>
        </w:rPr>
        <w:t xml:space="preserve"> </w:t>
      </w:r>
      <w:r w:rsidRPr="00695D8C">
        <w:rPr>
          <w:rFonts w:eastAsia="Calibri"/>
        </w:rPr>
        <w:t>—</w:t>
      </w:r>
    </w:p>
    <w:p w14:paraId="188B5148" w14:textId="412C37CD" w:rsidR="00695D8C" w:rsidRPr="00695D8C" w:rsidRDefault="00695D8C" w:rsidP="00DD2E11">
      <w:pPr>
        <w:tabs>
          <w:tab w:val="left" w:pos="2268"/>
        </w:tabs>
        <w:ind w:left="2268" w:hanging="567"/>
        <w:rPr>
          <w:rFonts w:eastAsia="Calibri"/>
        </w:rPr>
      </w:pPr>
      <w:r w:rsidRPr="00695D8C">
        <w:rPr>
          <w:rFonts w:eastAsia="Calibri"/>
        </w:rPr>
        <w:t>(i)</w:t>
      </w:r>
      <w:r w:rsidR="00CD4C46">
        <w:rPr>
          <w:rFonts w:eastAsia="Calibri"/>
        </w:rPr>
        <w:tab/>
      </w:r>
      <w:r w:rsidRPr="00695D8C">
        <w:rPr>
          <w:rFonts w:eastAsia="Calibri"/>
        </w:rPr>
        <w:t>the date of the prospectus, which shall be the date on which the prospectus is provisionally registered with the Commission;</w:t>
      </w:r>
    </w:p>
    <w:p w14:paraId="5AB72993" w14:textId="0CA6AF8B" w:rsidR="00CD4C46" w:rsidRDefault="00695D8C" w:rsidP="00DD2E11">
      <w:pPr>
        <w:tabs>
          <w:tab w:val="left" w:pos="2268"/>
        </w:tabs>
        <w:ind w:left="2268" w:hanging="567"/>
        <w:rPr>
          <w:rFonts w:eastAsia="Calibri"/>
        </w:rPr>
      </w:pPr>
      <w:r w:rsidRPr="00695D8C">
        <w:rPr>
          <w:rFonts w:eastAsia="Calibri"/>
        </w:rPr>
        <w:t>(ii)</w:t>
      </w:r>
      <w:r w:rsidR="00CD4C46">
        <w:rPr>
          <w:rFonts w:eastAsia="Calibri"/>
        </w:rPr>
        <w:tab/>
      </w:r>
      <w:r w:rsidRPr="00695D8C">
        <w:rPr>
          <w:rFonts w:eastAsia="Calibri"/>
        </w:rPr>
        <w:t>a statement signed by all the directors of the issuer to the effect that they accept responsibility for the contents of the prospectus and that, to the best of their knowledge and belief, and after making reasonable inquiries, the prospectus complies with this Act, any regulations made under this Act or any FSC Rules;</w:t>
      </w:r>
    </w:p>
    <w:p w14:paraId="00878237" w14:textId="054B9951" w:rsidR="00695D8C" w:rsidRPr="00695D8C" w:rsidRDefault="00CD4C46" w:rsidP="00DD2E11">
      <w:pPr>
        <w:tabs>
          <w:tab w:val="left" w:pos="2268"/>
        </w:tabs>
        <w:ind w:left="2268" w:hanging="567"/>
        <w:rPr>
          <w:rFonts w:eastAsia="Calibri"/>
        </w:rPr>
      </w:pPr>
      <w:r>
        <w:rPr>
          <w:rFonts w:eastAsia="Calibri"/>
        </w:rPr>
        <w:t>(</w:t>
      </w:r>
      <w:r w:rsidR="00695D8C" w:rsidRPr="00695D8C">
        <w:rPr>
          <w:rFonts w:eastAsia="Calibri"/>
        </w:rPr>
        <w:t>iii)</w:t>
      </w:r>
      <w:r w:rsidR="00695D8C" w:rsidRPr="00695D8C">
        <w:rPr>
          <w:rFonts w:eastAsia="Calibri"/>
        </w:rPr>
        <w:tab/>
        <w:t>such signatures as may be specified in FSC Rules; and</w:t>
      </w:r>
    </w:p>
    <w:p w14:paraId="699B2383" w14:textId="4D4609B6" w:rsidR="00695D8C" w:rsidRPr="00695D8C" w:rsidRDefault="00695D8C" w:rsidP="00DD2E11">
      <w:pPr>
        <w:tabs>
          <w:tab w:val="left" w:pos="2268"/>
        </w:tabs>
        <w:spacing w:before="240" w:after="120"/>
        <w:ind w:left="2268" w:hanging="567"/>
        <w:rPr>
          <w:rFonts w:eastAsia="Calibri"/>
        </w:rPr>
      </w:pPr>
      <w:r w:rsidRPr="00695D8C">
        <w:rPr>
          <w:rFonts w:eastAsia="Calibri"/>
        </w:rPr>
        <w:t>(iv)</w:t>
      </w:r>
      <w:r w:rsidR="00CD4C46">
        <w:rPr>
          <w:rFonts w:eastAsia="Calibri"/>
        </w:rPr>
        <w:tab/>
      </w:r>
      <w:r w:rsidRPr="00695D8C">
        <w:rPr>
          <w:rFonts w:eastAsia="Calibri"/>
        </w:rPr>
        <w:t>a statement to the effect that the Commission takes no responsibility for its contents</w:t>
      </w:r>
      <w:r w:rsidR="009F3864">
        <w:rPr>
          <w:rFonts w:eastAsia="Calibri"/>
        </w:rPr>
        <w:t>;</w:t>
      </w:r>
    </w:p>
    <w:p w14:paraId="52A96A45" w14:textId="540CF8FB" w:rsidR="0024048B" w:rsidRPr="0024048B" w:rsidRDefault="00CB623E" w:rsidP="00DD2E11">
      <w:pPr>
        <w:tabs>
          <w:tab w:val="left" w:pos="1701"/>
        </w:tabs>
        <w:spacing w:before="240" w:after="120"/>
        <w:ind w:left="1701" w:hanging="567"/>
        <w:rPr>
          <w:rFonts w:eastAsia="Calibri"/>
        </w:rPr>
      </w:pPr>
      <w:r>
        <w:rPr>
          <w:rFonts w:eastAsia="Calibri"/>
        </w:rPr>
        <w:t>(c)</w:t>
      </w:r>
      <w:r>
        <w:rPr>
          <w:rFonts w:eastAsia="Calibri"/>
        </w:rPr>
        <w:tab/>
      </w:r>
      <w:r w:rsidR="0024048B">
        <w:rPr>
          <w:rFonts w:eastAsia="Calibri"/>
        </w:rPr>
        <w:t xml:space="preserve">contain </w:t>
      </w:r>
      <w:r w:rsidR="002D1989">
        <w:rPr>
          <w:rFonts w:eastAsia="Calibri"/>
        </w:rPr>
        <w:t xml:space="preserve">a </w:t>
      </w:r>
      <w:r w:rsidR="008053F9">
        <w:rPr>
          <w:rFonts w:eastAsia="Calibri"/>
        </w:rPr>
        <w:t xml:space="preserve">full, true and </w:t>
      </w:r>
      <w:r w:rsidR="003B3557">
        <w:rPr>
          <w:rFonts w:eastAsia="Calibri"/>
        </w:rPr>
        <w:t>plain s</w:t>
      </w:r>
      <w:r>
        <w:rPr>
          <w:rFonts w:eastAsia="Calibri"/>
        </w:rPr>
        <w:t>tatement o</w:t>
      </w:r>
      <w:r w:rsidR="002D1989">
        <w:rPr>
          <w:rFonts w:eastAsia="Calibri"/>
        </w:rPr>
        <w:t>n</w:t>
      </w:r>
      <w:r>
        <w:rPr>
          <w:rFonts w:eastAsia="Calibri"/>
        </w:rPr>
        <w:t xml:space="preserve"> the </w:t>
      </w:r>
      <w:r w:rsidR="0024048B" w:rsidRPr="0024048B">
        <w:rPr>
          <w:rFonts w:eastAsia="Calibri"/>
        </w:rPr>
        <w:t>pricing methodology</w:t>
      </w:r>
      <w:r>
        <w:rPr>
          <w:rFonts w:eastAsia="Calibri"/>
        </w:rPr>
        <w:t xml:space="preserve"> </w:t>
      </w:r>
      <w:r w:rsidR="0024048B" w:rsidRPr="0024048B">
        <w:rPr>
          <w:rFonts w:eastAsia="Calibri"/>
        </w:rPr>
        <w:t>used depending on the investment fund strateg</w:t>
      </w:r>
      <w:r w:rsidR="00F700E6">
        <w:rPr>
          <w:rFonts w:eastAsia="Calibri"/>
        </w:rPr>
        <w:t>y;</w:t>
      </w:r>
    </w:p>
    <w:p w14:paraId="5BE23FCA" w14:textId="3A3712F5" w:rsidR="00695D8C" w:rsidRPr="00695D8C" w:rsidRDefault="00337EF5" w:rsidP="00DD2E11">
      <w:pPr>
        <w:tabs>
          <w:tab w:val="left" w:pos="1701"/>
        </w:tabs>
        <w:spacing w:before="240" w:after="120"/>
        <w:ind w:left="1701" w:hanging="567"/>
        <w:rPr>
          <w:rFonts w:eastAsia="Calibri"/>
        </w:rPr>
      </w:pPr>
      <w:r>
        <w:rPr>
          <w:rFonts w:eastAsia="Calibri"/>
        </w:rPr>
        <w:t>(</w:t>
      </w:r>
      <w:r w:rsidR="00DD2E11">
        <w:rPr>
          <w:rFonts w:eastAsia="Calibri"/>
        </w:rPr>
        <w:t>d</w:t>
      </w:r>
      <w:r>
        <w:rPr>
          <w:rFonts w:eastAsia="Calibri"/>
        </w:rPr>
        <w:t>)</w:t>
      </w:r>
      <w:r>
        <w:rPr>
          <w:rFonts w:eastAsia="Calibri"/>
        </w:rPr>
        <w:tab/>
      </w:r>
      <w:r w:rsidR="00695D8C" w:rsidRPr="00695D8C">
        <w:rPr>
          <w:rFonts w:eastAsia="Calibri"/>
        </w:rPr>
        <w:t>where so authorised by FSC Rules, contain all such facts, statements and information as may be specified by FSC Rules.</w:t>
      </w:r>
      <w:r w:rsidR="00406A4F">
        <w:rPr>
          <w:rFonts w:eastAsia="Calibri"/>
        </w:rPr>
        <w:t>”.</w:t>
      </w:r>
    </w:p>
    <w:p w14:paraId="524D64F6" w14:textId="0BE3532F" w:rsidR="00FC4FC7" w:rsidRPr="0002276F" w:rsidRDefault="007F0B39" w:rsidP="0002276F">
      <w:pPr>
        <w:pStyle w:val="iLAWS300Article"/>
        <w:spacing w:before="240" w:after="120"/>
        <w:rPr>
          <w:rFonts w:ascii="Arial" w:hAnsi="Arial" w:cs="Arial"/>
        </w:rPr>
      </w:pPr>
      <w:bookmarkStart w:id="43" w:name="_Hlk136473722"/>
      <w:bookmarkStart w:id="44" w:name="_Toc136474865"/>
      <w:bookmarkStart w:id="45" w:name="_Toc151283285"/>
      <w:bookmarkStart w:id="46" w:name="_Hlk134495159"/>
      <w:r>
        <w:rPr>
          <w:rFonts w:ascii="Arial" w:eastAsia="Arial" w:hAnsi="Arial" w:cs="Arial"/>
        </w:rPr>
        <w:t>1</w:t>
      </w:r>
      <w:r w:rsidR="0066709D">
        <w:rPr>
          <w:rFonts w:ascii="Arial" w:eastAsia="Arial" w:hAnsi="Arial" w:cs="Arial"/>
        </w:rPr>
        <w:t>8</w:t>
      </w:r>
      <w:r w:rsidR="00FC4FC7" w:rsidRPr="0002276F">
        <w:rPr>
          <w:rFonts w:ascii="Arial" w:eastAsia="Arial" w:hAnsi="Arial" w:cs="Arial"/>
        </w:rPr>
        <w:tab/>
        <w:t>Section 79</w:t>
      </w:r>
      <w:r w:rsidR="002A6298">
        <w:rPr>
          <w:rFonts w:ascii="Arial" w:eastAsia="Arial" w:hAnsi="Arial" w:cs="Arial"/>
        </w:rPr>
        <w:t>A</w:t>
      </w:r>
      <w:r w:rsidR="00FC4FC7" w:rsidRPr="0002276F">
        <w:rPr>
          <w:rFonts w:ascii="Arial" w:eastAsia="Arial" w:hAnsi="Arial" w:cs="Arial"/>
        </w:rPr>
        <w:t xml:space="preserve"> of the principal Act </w:t>
      </w:r>
      <w:r w:rsidR="002A6298">
        <w:rPr>
          <w:rFonts w:ascii="Arial" w:eastAsia="Arial" w:hAnsi="Arial" w:cs="Arial"/>
        </w:rPr>
        <w:t>inserted</w:t>
      </w:r>
      <w:bookmarkEnd w:id="43"/>
      <w:bookmarkEnd w:id="44"/>
      <w:bookmarkEnd w:id="45"/>
    </w:p>
    <w:p w14:paraId="00BEEB53" w14:textId="594C88D6" w:rsidR="004538E1" w:rsidRDefault="00885017" w:rsidP="0002276F">
      <w:pPr>
        <w:spacing w:before="240" w:after="120"/>
        <w:ind w:firstLine="559"/>
        <w:rPr>
          <w:rFonts w:eastAsia="Calibri"/>
        </w:rPr>
      </w:pPr>
      <w:r w:rsidRPr="00885017">
        <w:rPr>
          <w:rFonts w:eastAsia="Calibri"/>
        </w:rPr>
        <w:t xml:space="preserve">The principal Act is amended by inserting after section 79 the following </w:t>
      </w:r>
      <w:r w:rsidR="00225BDD">
        <w:rPr>
          <w:rFonts w:eastAsia="Calibri"/>
        </w:rPr>
        <w:t xml:space="preserve">new </w:t>
      </w:r>
      <w:r w:rsidRPr="00885017">
        <w:rPr>
          <w:rFonts w:eastAsia="Calibri"/>
        </w:rPr>
        <w:t>section</w:t>
      </w:r>
      <w:r w:rsidRPr="00695D8C">
        <w:rPr>
          <w:rFonts w:eastAsia="Calibri"/>
        </w:rPr>
        <w:t>—</w:t>
      </w:r>
    </w:p>
    <w:bookmarkEnd w:id="46"/>
    <w:p w14:paraId="54ECE60C" w14:textId="46B8AA39" w:rsidR="003144A8" w:rsidRPr="004726C5" w:rsidRDefault="003144A8" w:rsidP="00672CA7">
      <w:pPr>
        <w:tabs>
          <w:tab w:val="left" w:pos="1134"/>
        </w:tabs>
        <w:spacing w:before="120" w:after="120" w:line="240" w:lineRule="auto"/>
        <w:ind w:left="11" w:right="0" w:firstLine="556"/>
        <w:rPr>
          <w:rFonts w:ascii="Arial" w:hAnsi="Arial" w:cs="Arial"/>
          <w:b/>
          <w:bCs/>
          <w:color w:val="auto"/>
        </w:rPr>
      </w:pPr>
      <w:r w:rsidRPr="004726C5">
        <w:rPr>
          <w:rFonts w:ascii="Arial" w:hAnsi="Arial" w:cs="Arial"/>
          <w:b/>
          <w:bCs/>
          <w:color w:val="auto"/>
        </w:rPr>
        <w:t>“79A</w:t>
      </w:r>
      <w:r w:rsidRPr="004726C5">
        <w:rPr>
          <w:rFonts w:ascii="Arial" w:hAnsi="Arial" w:cs="Arial"/>
          <w:b/>
          <w:bCs/>
          <w:color w:val="auto"/>
        </w:rPr>
        <w:tab/>
        <w:t>De-registration</w:t>
      </w:r>
    </w:p>
    <w:p w14:paraId="4AD09A8A" w14:textId="5209552B" w:rsidR="003144A8" w:rsidRDefault="003144A8" w:rsidP="001B1EB7">
      <w:pPr>
        <w:spacing w:before="120" w:after="120" w:line="240" w:lineRule="auto"/>
        <w:ind w:left="1440" w:right="0" w:firstLine="0"/>
        <w:rPr>
          <w:color w:val="auto"/>
        </w:rPr>
      </w:pPr>
      <w:r w:rsidRPr="003144A8">
        <w:rPr>
          <w:color w:val="auto"/>
        </w:rPr>
        <w:t xml:space="preserve">The Commission may deregister a prospectus in accordance with </w:t>
      </w:r>
      <w:r w:rsidR="001B1EB7">
        <w:rPr>
          <w:color w:val="auto"/>
        </w:rPr>
        <w:t>FSC R</w:t>
      </w:r>
      <w:r w:rsidRPr="003144A8">
        <w:rPr>
          <w:color w:val="auto"/>
        </w:rPr>
        <w:t>ules.”.</w:t>
      </w:r>
    </w:p>
    <w:p w14:paraId="5BF770D9" w14:textId="74035DE3" w:rsidR="004726C5" w:rsidRPr="001C3FE7" w:rsidRDefault="007F0B39" w:rsidP="00DF55DC">
      <w:pPr>
        <w:pStyle w:val="iLAWS300Article"/>
        <w:spacing w:before="240" w:after="120"/>
        <w:rPr>
          <w:rFonts w:ascii="Arial" w:hAnsi="Arial" w:cs="Arial"/>
          <w:szCs w:val="24"/>
        </w:rPr>
      </w:pPr>
      <w:bookmarkStart w:id="47" w:name="_Hlk136474382"/>
      <w:bookmarkStart w:id="48" w:name="_Toc136474866"/>
      <w:bookmarkStart w:id="49" w:name="_Toc151283286"/>
      <w:r>
        <w:rPr>
          <w:rStyle w:val="iLAWS914ArticleNumber"/>
          <w:rFonts w:eastAsia="Arial"/>
        </w:rPr>
        <w:t>1</w:t>
      </w:r>
      <w:bookmarkEnd w:id="47"/>
      <w:r w:rsidR="0066709D">
        <w:rPr>
          <w:rStyle w:val="iLAWS914ArticleNumber"/>
          <w:rFonts w:eastAsia="Arial"/>
        </w:rPr>
        <w:t>9</w:t>
      </w:r>
      <w:r w:rsidR="00672CA7" w:rsidRPr="001C3FE7">
        <w:rPr>
          <w:rFonts w:ascii="Arial" w:eastAsia="Arial" w:hAnsi="Arial" w:cs="Arial"/>
          <w:szCs w:val="24"/>
        </w:rPr>
        <w:tab/>
        <w:t>Section 86 of the principal Act amended</w:t>
      </w:r>
      <w:bookmarkEnd w:id="48"/>
      <w:bookmarkEnd w:id="49"/>
    </w:p>
    <w:p w14:paraId="4295E32A" w14:textId="753B47AF" w:rsidR="00BC2A76" w:rsidRDefault="00DB1261" w:rsidP="00B2542E">
      <w:pPr>
        <w:spacing w:before="240" w:after="120" w:line="247" w:lineRule="auto"/>
        <w:ind w:left="6" w:right="1168" w:firstLine="561"/>
        <w:rPr>
          <w:rFonts w:eastAsia="Calibri"/>
        </w:rPr>
      </w:pPr>
      <w:r>
        <w:rPr>
          <w:rFonts w:eastAsia="Calibri"/>
        </w:rPr>
        <w:t>S</w:t>
      </w:r>
      <w:r w:rsidR="002A3CFB">
        <w:rPr>
          <w:rFonts w:eastAsia="Calibri"/>
        </w:rPr>
        <w:t>ection 86</w:t>
      </w:r>
      <w:r>
        <w:rPr>
          <w:rFonts w:eastAsia="Calibri"/>
        </w:rPr>
        <w:t xml:space="preserve"> of the principal Act is amended</w:t>
      </w:r>
      <w:r w:rsidR="00BC2A76" w:rsidRPr="00695D8C">
        <w:rPr>
          <w:rFonts w:eastAsia="Calibri"/>
        </w:rPr>
        <w:t>—</w:t>
      </w:r>
    </w:p>
    <w:p w14:paraId="4017CC2F" w14:textId="7E3A0D2A" w:rsidR="00113F0F" w:rsidRDefault="00113F0F" w:rsidP="00672CA7">
      <w:pPr>
        <w:tabs>
          <w:tab w:val="left" w:pos="1134"/>
        </w:tabs>
        <w:ind w:firstLine="559"/>
        <w:rPr>
          <w:rFonts w:eastAsia="Calibri"/>
        </w:rPr>
      </w:pPr>
      <w:r>
        <w:rPr>
          <w:rFonts w:eastAsia="Calibri"/>
        </w:rPr>
        <w:t>(a)</w:t>
      </w:r>
      <w:r>
        <w:rPr>
          <w:rFonts w:eastAsia="Calibri"/>
        </w:rPr>
        <w:tab/>
        <w:t xml:space="preserve">by repealing subsection (2) and replacing it </w:t>
      </w:r>
      <w:r w:rsidR="00037052">
        <w:rPr>
          <w:rFonts w:eastAsia="Calibri"/>
        </w:rPr>
        <w:t xml:space="preserve">by </w:t>
      </w:r>
      <w:r>
        <w:rPr>
          <w:rFonts w:eastAsia="Calibri"/>
        </w:rPr>
        <w:t>the following subsection</w:t>
      </w:r>
      <w:bookmarkStart w:id="50" w:name="_Hlk135361927"/>
      <w:r w:rsidRPr="00366848">
        <w:rPr>
          <w:rFonts w:eastAsia="Calibri"/>
        </w:rPr>
        <w:t>—</w:t>
      </w:r>
      <w:bookmarkEnd w:id="50"/>
    </w:p>
    <w:p w14:paraId="6C0105EE" w14:textId="3BCB9794" w:rsidR="00113F0F" w:rsidRDefault="00113F0F" w:rsidP="00672CA7">
      <w:pPr>
        <w:ind w:left="1701" w:hanging="567"/>
        <w:rPr>
          <w:rFonts w:eastAsia="Calibri"/>
        </w:rPr>
      </w:pPr>
      <w:r>
        <w:rPr>
          <w:rFonts w:eastAsia="Calibri"/>
        </w:rPr>
        <w:t>“(2)</w:t>
      </w:r>
      <w:r>
        <w:rPr>
          <w:rFonts w:eastAsia="Calibri"/>
        </w:rPr>
        <w:tab/>
      </w:r>
      <w:r w:rsidRPr="00340BC1">
        <w:rPr>
          <w:rFonts w:eastAsia="Calibri"/>
        </w:rPr>
        <w:t>Every reporting issue</w:t>
      </w:r>
      <w:r w:rsidR="00451869">
        <w:rPr>
          <w:rFonts w:eastAsia="Calibri"/>
        </w:rPr>
        <w:t>r</w:t>
      </w:r>
      <w:r w:rsidRPr="00340BC1">
        <w:rPr>
          <w:rFonts w:eastAsia="Calibri"/>
        </w:rPr>
        <w:t>,</w:t>
      </w:r>
      <w:r>
        <w:rPr>
          <w:rFonts w:eastAsia="Calibri"/>
        </w:rPr>
        <w:t xml:space="preserve"> </w:t>
      </w:r>
      <w:r w:rsidRPr="00340BC1">
        <w:rPr>
          <w:rFonts w:eastAsia="Calibri"/>
        </w:rPr>
        <w:t>(other than a reporting issuer not incorporated in Mauritius) or listed company shall comply with the disclosure requirements under this Part</w:t>
      </w:r>
      <w:r>
        <w:rPr>
          <w:rFonts w:eastAsia="Calibri"/>
        </w:rPr>
        <w:t>.”;</w:t>
      </w:r>
    </w:p>
    <w:p w14:paraId="40E28484" w14:textId="1418098F" w:rsidR="00113F0F" w:rsidRDefault="00113F0F" w:rsidP="00113F0F">
      <w:pPr>
        <w:tabs>
          <w:tab w:val="left" w:pos="1134"/>
        </w:tabs>
        <w:ind w:left="1134" w:hanging="567"/>
        <w:rPr>
          <w:rFonts w:eastAsia="Calibri"/>
        </w:rPr>
      </w:pPr>
      <w:r>
        <w:rPr>
          <w:rFonts w:eastAsia="Calibri"/>
        </w:rPr>
        <w:t>(b)</w:t>
      </w:r>
      <w:r>
        <w:rPr>
          <w:rFonts w:eastAsia="Calibri"/>
        </w:rPr>
        <w:tab/>
        <w:t>in subsection (3)</w:t>
      </w:r>
      <w:r w:rsidRPr="00366848">
        <w:rPr>
          <w:rFonts w:eastAsia="Calibri"/>
        </w:rPr>
        <w:t>—</w:t>
      </w:r>
    </w:p>
    <w:p w14:paraId="2BCB0C95" w14:textId="5295E181" w:rsidR="008F5A2B" w:rsidRDefault="00074EAD" w:rsidP="008F5A2B">
      <w:pPr>
        <w:tabs>
          <w:tab w:val="left" w:pos="1701"/>
        </w:tabs>
        <w:ind w:left="1843" w:hanging="709"/>
        <w:rPr>
          <w:rFonts w:eastAsia="Calibri"/>
        </w:rPr>
      </w:pPr>
      <w:r>
        <w:rPr>
          <w:rFonts w:eastAsia="Calibri"/>
        </w:rPr>
        <w:t>(i)</w:t>
      </w:r>
      <w:r>
        <w:rPr>
          <w:rFonts w:eastAsia="Calibri"/>
        </w:rPr>
        <w:tab/>
      </w:r>
      <w:r w:rsidR="00113F0F">
        <w:rPr>
          <w:rFonts w:eastAsia="Calibri"/>
        </w:rPr>
        <w:t xml:space="preserve">by inserting after the words “reporting issuers” </w:t>
      </w:r>
      <w:r w:rsidR="00113F0F" w:rsidRPr="00B13C10">
        <w:rPr>
          <w:rFonts w:eastAsia="Calibri"/>
        </w:rPr>
        <w:t>the words “</w:t>
      </w:r>
      <w:r w:rsidR="0091269F" w:rsidRPr="00B13C10">
        <w:rPr>
          <w:rFonts w:eastAsia="Calibri"/>
        </w:rPr>
        <w:t>and</w:t>
      </w:r>
      <w:r w:rsidR="009B7EC5" w:rsidRPr="00B13C10">
        <w:rPr>
          <w:rFonts w:eastAsia="Calibri"/>
        </w:rPr>
        <w:t xml:space="preserve"> </w:t>
      </w:r>
      <w:r w:rsidR="00113F0F" w:rsidRPr="00B13C10">
        <w:rPr>
          <w:rFonts w:eastAsia="Calibri"/>
        </w:rPr>
        <w:t>listed compan</w:t>
      </w:r>
      <w:r w:rsidR="0048381E" w:rsidRPr="00B13C10">
        <w:rPr>
          <w:rFonts w:eastAsia="Calibri"/>
        </w:rPr>
        <w:t>ies</w:t>
      </w:r>
      <w:r w:rsidR="00113F0F" w:rsidRPr="00B13C10">
        <w:rPr>
          <w:rFonts w:eastAsia="Calibri"/>
        </w:rPr>
        <w:t>”</w:t>
      </w:r>
      <w:r w:rsidR="00404DE3" w:rsidRPr="00B13C10">
        <w:rPr>
          <w:rFonts w:eastAsia="Calibri"/>
        </w:rPr>
        <w:t>;</w:t>
      </w:r>
    </w:p>
    <w:p w14:paraId="3212E2B2" w14:textId="6DAE7649" w:rsidR="00113F0F" w:rsidRDefault="00074EAD" w:rsidP="008F5A2B">
      <w:pPr>
        <w:tabs>
          <w:tab w:val="left" w:pos="1701"/>
        </w:tabs>
        <w:ind w:left="1843" w:hanging="709"/>
        <w:rPr>
          <w:rFonts w:eastAsia="Calibri"/>
        </w:rPr>
      </w:pPr>
      <w:r>
        <w:rPr>
          <w:rFonts w:eastAsia="Calibri"/>
        </w:rPr>
        <w:t>(ii)</w:t>
      </w:r>
      <w:r>
        <w:rPr>
          <w:rFonts w:eastAsia="Calibri"/>
        </w:rPr>
        <w:tab/>
        <w:t>in paragraph (b), b</w:t>
      </w:r>
      <w:r w:rsidR="00113F0F">
        <w:rPr>
          <w:rFonts w:eastAsia="Calibri"/>
        </w:rPr>
        <w:t>y inserting after the word</w:t>
      </w:r>
      <w:r>
        <w:rPr>
          <w:rFonts w:eastAsia="Calibri"/>
        </w:rPr>
        <w:t>s “reporting issuer” the words “</w:t>
      </w:r>
      <w:r w:rsidR="00451869">
        <w:rPr>
          <w:rFonts w:eastAsia="Calibri"/>
        </w:rPr>
        <w:t xml:space="preserve">or </w:t>
      </w:r>
      <w:r>
        <w:rPr>
          <w:rFonts w:eastAsia="Calibri"/>
        </w:rPr>
        <w:t>listed company”.</w:t>
      </w:r>
    </w:p>
    <w:p w14:paraId="44AB66B8" w14:textId="62C17C58" w:rsidR="00672CA7" w:rsidRPr="001C3FE7" w:rsidRDefault="0066709D" w:rsidP="00B2542E">
      <w:pPr>
        <w:pStyle w:val="iLAWS300Article"/>
        <w:rPr>
          <w:rFonts w:ascii="Arial" w:hAnsi="Arial" w:cs="Arial"/>
        </w:rPr>
      </w:pPr>
      <w:bookmarkStart w:id="51" w:name="_Toc136474867"/>
      <w:bookmarkStart w:id="52" w:name="_Toc151283287"/>
      <w:r>
        <w:rPr>
          <w:rStyle w:val="iLAWS914ArticleNumber"/>
          <w:rFonts w:ascii="Arial" w:eastAsia="Arial" w:hAnsi="Arial" w:cs="Arial"/>
        </w:rPr>
        <w:t>20</w:t>
      </w:r>
      <w:r w:rsidR="00672CA7" w:rsidRPr="001C3FE7">
        <w:rPr>
          <w:rFonts w:ascii="Arial" w:eastAsia="Arial" w:hAnsi="Arial" w:cs="Arial"/>
        </w:rPr>
        <w:tab/>
        <w:t>Section 87 of the principal Act amended</w:t>
      </w:r>
      <w:bookmarkEnd w:id="51"/>
      <w:bookmarkEnd w:id="52"/>
    </w:p>
    <w:p w14:paraId="4B4BAB19" w14:textId="79336BD1" w:rsidR="0038389D" w:rsidRDefault="0048381E" w:rsidP="001C3FE7">
      <w:pPr>
        <w:spacing w:before="240" w:after="120" w:line="240" w:lineRule="auto"/>
        <w:ind w:left="6" w:right="1168" w:firstLine="561"/>
        <w:rPr>
          <w:rFonts w:eastAsia="Calibri"/>
        </w:rPr>
      </w:pPr>
      <w:r>
        <w:rPr>
          <w:rFonts w:eastAsia="Calibri"/>
        </w:rPr>
        <w:t>Sectio</w:t>
      </w:r>
      <w:r w:rsidR="00672CA7">
        <w:rPr>
          <w:rFonts w:eastAsia="Calibri"/>
        </w:rPr>
        <w:t>n</w:t>
      </w:r>
      <w:r>
        <w:rPr>
          <w:rFonts w:eastAsia="Calibri"/>
        </w:rPr>
        <w:t xml:space="preserve"> 87 of the</w:t>
      </w:r>
      <w:r w:rsidR="00BC2A76" w:rsidRPr="00885017">
        <w:rPr>
          <w:rFonts w:eastAsia="Calibri"/>
        </w:rPr>
        <w:t xml:space="preserve"> principal Act</w:t>
      </w:r>
      <w:r w:rsidR="00985778" w:rsidRPr="00366848">
        <w:rPr>
          <w:rFonts w:eastAsia="Calibri"/>
        </w:rPr>
        <w:t>—</w:t>
      </w:r>
    </w:p>
    <w:p w14:paraId="79FD3013" w14:textId="2CC2EB58" w:rsidR="0038389D" w:rsidRDefault="003C4D5B" w:rsidP="003C4D5B">
      <w:pPr>
        <w:ind w:left="1134" w:hanging="567"/>
        <w:rPr>
          <w:rFonts w:eastAsia="Calibri"/>
        </w:rPr>
      </w:pPr>
      <w:r>
        <w:rPr>
          <w:rFonts w:eastAsia="Calibri"/>
        </w:rPr>
        <w:t>(a)</w:t>
      </w:r>
      <w:r>
        <w:rPr>
          <w:rFonts w:eastAsia="Calibri"/>
        </w:rPr>
        <w:tab/>
      </w:r>
      <w:r w:rsidR="0038389D">
        <w:rPr>
          <w:rFonts w:eastAsia="Calibri"/>
        </w:rPr>
        <w:t>in subsection (1)</w:t>
      </w:r>
      <w:r w:rsidR="009B7EC5">
        <w:rPr>
          <w:rFonts w:eastAsia="Calibri"/>
        </w:rPr>
        <w:t>,</w:t>
      </w:r>
      <w:r w:rsidR="0038389D">
        <w:rPr>
          <w:rFonts w:eastAsia="Calibri"/>
        </w:rPr>
        <w:t xml:space="preserve"> by </w:t>
      </w:r>
      <w:r w:rsidR="00985778">
        <w:rPr>
          <w:rFonts w:eastAsia="Calibri"/>
        </w:rPr>
        <w:t>inserting a</w:t>
      </w:r>
      <w:r w:rsidR="0038389D">
        <w:rPr>
          <w:rFonts w:eastAsia="Calibri"/>
        </w:rPr>
        <w:t xml:space="preserve">fter the words “reporting issuer” wherever they occur the words “or listed company”; </w:t>
      </w:r>
    </w:p>
    <w:p w14:paraId="4DA1AD0D" w14:textId="01EF39BD" w:rsidR="003C4D5B" w:rsidRDefault="003C4D5B" w:rsidP="003A5437">
      <w:pPr>
        <w:tabs>
          <w:tab w:val="left" w:pos="1134"/>
        </w:tabs>
        <w:ind w:firstLine="559"/>
      </w:pPr>
      <w:bookmarkStart w:id="53" w:name="_Hlk136305186"/>
      <w:r>
        <w:rPr>
          <w:rFonts w:eastAsia="Calibri"/>
        </w:rPr>
        <w:t>(b)</w:t>
      </w:r>
      <w:r>
        <w:rPr>
          <w:rFonts w:eastAsia="Calibri"/>
        </w:rPr>
        <w:tab/>
      </w:r>
      <w:r w:rsidR="00D812D7">
        <w:rPr>
          <w:rFonts w:eastAsia="Calibri"/>
        </w:rPr>
        <w:t xml:space="preserve">in </w:t>
      </w:r>
      <w:r w:rsidR="0038389D">
        <w:rPr>
          <w:rFonts w:eastAsia="Calibri"/>
        </w:rPr>
        <w:t>subsection (4)</w:t>
      </w:r>
      <w:r w:rsidR="00BC2A76" w:rsidRPr="00695D8C">
        <w:rPr>
          <w:rFonts w:eastAsia="Calibri"/>
        </w:rPr>
        <w:t>—</w:t>
      </w:r>
    </w:p>
    <w:bookmarkEnd w:id="53"/>
    <w:p w14:paraId="590E80AE" w14:textId="7930E2C1" w:rsidR="00B401CB" w:rsidRDefault="00D812D7" w:rsidP="00672CA7">
      <w:pPr>
        <w:tabs>
          <w:tab w:val="left" w:pos="1701"/>
        </w:tabs>
        <w:ind w:firstLine="1126"/>
        <w:rPr>
          <w:rFonts w:eastAsia="Calibri"/>
        </w:rPr>
      </w:pPr>
      <w:r>
        <w:rPr>
          <w:rFonts w:eastAsia="Calibri"/>
        </w:rPr>
        <w:t>(i)</w:t>
      </w:r>
      <w:r>
        <w:rPr>
          <w:rFonts w:eastAsia="Calibri"/>
        </w:rPr>
        <w:tab/>
      </w:r>
      <w:bookmarkStart w:id="54" w:name="_Hlk136306236"/>
      <w:r>
        <w:rPr>
          <w:rFonts w:eastAsia="Calibri"/>
        </w:rPr>
        <w:t xml:space="preserve">by inserting after the </w:t>
      </w:r>
      <w:r w:rsidR="00B401CB">
        <w:rPr>
          <w:rFonts w:eastAsia="Calibri"/>
        </w:rPr>
        <w:t xml:space="preserve">words </w:t>
      </w:r>
      <w:r w:rsidR="009A013B">
        <w:rPr>
          <w:rFonts w:eastAsia="Calibri"/>
        </w:rPr>
        <w:t>“</w:t>
      </w:r>
      <w:r w:rsidR="00B401CB">
        <w:rPr>
          <w:rFonts w:eastAsia="Calibri"/>
        </w:rPr>
        <w:t>reporting issuer” the words “or listed company”</w:t>
      </w:r>
      <w:bookmarkEnd w:id="54"/>
      <w:r w:rsidR="005941F5">
        <w:rPr>
          <w:rFonts w:eastAsia="Calibri"/>
        </w:rPr>
        <w:t>;</w:t>
      </w:r>
    </w:p>
    <w:p w14:paraId="43D614A2" w14:textId="38A47937" w:rsidR="007C4B53" w:rsidRDefault="00AF415B" w:rsidP="00672CA7">
      <w:pPr>
        <w:ind w:left="1701" w:hanging="567"/>
        <w:rPr>
          <w:rFonts w:eastAsia="Calibri"/>
        </w:rPr>
      </w:pPr>
      <w:r>
        <w:rPr>
          <w:rFonts w:eastAsia="Calibri"/>
        </w:rPr>
        <w:t>(ii)</w:t>
      </w:r>
      <w:r>
        <w:rPr>
          <w:rFonts w:eastAsia="Calibri"/>
        </w:rPr>
        <w:tab/>
        <w:t>in paragraph (c)</w:t>
      </w:r>
      <w:r w:rsidR="00E04DCE">
        <w:rPr>
          <w:rFonts w:eastAsia="Calibri"/>
        </w:rPr>
        <w:t>,</w:t>
      </w:r>
      <w:r w:rsidR="007C4B53">
        <w:rPr>
          <w:rFonts w:eastAsia="Calibri"/>
        </w:rPr>
        <w:t xml:space="preserve"> by deleting the words “the issuer” and </w:t>
      </w:r>
      <w:r w:rsidR="006842CB">
        <w:rPr>
          <w:rFonts w:eastAsia="Calibri"/>
        </w:rPr>
        <w:t>replacing them by the words</w:t>
      </w:r>
      <w:r w:rsidR="007C4B53">
        <w:rPr>
          <w:rFonts w:eastAsia="Calibri"/>
        </w:rPr>
        <w:t xml:space="preserve">” “the reporting issuer or listed company”; </w:t>
      </w:r>
    </w:p>
    <w:p w14:paraId="6F6A13BB" w14:textId="5186B212" w:rsidR="007B7938" w:rsidRDefault="007B7938" w:rsidP="007B7938">
      <w:pPr>
        <w:tabs>
          <w:tab w:val="left" w:pos="1134"/>
        </w:tabs>
        <w:ind w:firstLine="559"/>
      </w:pPr>
      <w:r>
        <w:rPr>
          <w:rFonts w:eastAsia="Calibri"/>
        </w:rPr>
        <w:t>(c)</w:t>
      </w:r>
      <w:r>
        <w:rPr>
          <w:rFonts w:eastAsia="Calibri"/>
        </w:rPr>
        <w:tab/>
      </w:r>
      <w:r w:rsidR="009A013B">
        <w:rPr>
          <w:rFonts w:eastAsia="Calibri"/>
        </w:rPr>
        <w:t>in subsection (5)</w:t>
      </w:r>
      <w:r w:rsidRPr="00695D8C">
        <w:rPr>
          <w:rFonts w:eastAsia="Calibri"/>
        </w:rPr>
        <w:t>—</w:t>
      </w:r>
      <w:r w:rsidRPr="003C4D5B">
        <w:t xml:space="preserve"> </w:t>
      </w:r>
    </w:p>
    <w:p w14:paraId="3A5B45A0" w14:textId="0AC7C67D" w:rsidR="00672CA7" w:rsidRDefault="009A013B" w:rsidP="00672CA7">
      <w:pPr>
        <w:ind w:left="1701" w:hanging="567"/>
        <w:rPr>
          <w:rFonts w:eastAsia="Calibri"/>
        </w:rPr>
      </w:pPr>
      <w:r>
        <w:rPr>
          <w:rFonts w:eastAsia="Calibri"/>
        </w:rPr>
        <w:t>(i)</w:t>
      </w:r>
      <w:r>
        <w:rPr>
          <w:rFonts w:eastAsia="Calibri"/>
        </w:rPr>
        <w:tab/>
      </w:r>
      <w:r w:rsidR="00797861">
        <w:rPr>
          <w:rFonts w:eastAsia="Calibri"/>
        </w:rPr>
        <w:t>in paragraph (b)</w:t>
      </w:r>
      <w:r w:rsidR="00524BDA">
        <w:rPr>
          <w:rFonts w:eastAsia="Calibri"/>
        </w:rPr>
        <w:t>,</w:t>
      </w:r>
      <w:r w:rsidR="00797861">
        <w:rPr>
          <w:rFonts w:eastAsia="Calibri"/>
        </w:rPr>
        <w:t xml:space="preserve"> </w:t>
      </w:r>
      <w:r>
        <w:rPr>
          <w:rFonts w:eastAsia="Calibri"/>
        </w:rPr>
        <w:t xml:space="preserve">by </w:t>
      </w:r>
      <w:r w:rsidR="00797861">
        <w:rPr>
          <w:rFonts w:eastAsia="Calibri"/>
        </w:rPr>
        <w:t xml:space="preserve">deleting the word “issuer’s” and </w:t>
      </w:r>
      <w:r w:rsidR="00524BDA">
        <w:rPr>
          <w:rFonts w:eastAsia="Calibri"/>
        </w:rPr>
        <w:t>replacing</w:t>
      </w:r>
      <w:r w:rsidR="004C7B5B">
        <w:rPr>
          <w:rFonts w:eastAsia="Calibri"/>
        </w:rPr>
        <w:t xml:space="preserve"> it </w:t>
      </w:r>
      <w:r w:rsidR="00524BDA">
        <w:rPr>
          <w:rFonts w:eastAsia="Calibri"/>
        </w:rPr>
        <w:t xml:space="preserve">by the words </w:t>
      </w:r>
      <w:r w:rsidR="00797861">
        <w:rPr>
          <w:rFonts w:eastAsia="Calibri"/>
        </w:rPr>
        <w:t>“the reporting issuer’s or listed company’s”</w:t>
      </w:r>
      <w:r w:rsidR="00CE1ACB">
        <w:rPr>
          <w:rFonts w:eastAsia="Calibri"/>
        </w:rPr>
        <w:t>;</w:t>
      </w:r>
    </w:p>
    <w:p w14:paraId="6620EF1B" w14:textId="77777777" w:rsidR="00672CA7" w:rsidRDefault="009A013B" w:rsidP="00672CA7">
      <w:pPr>
        <w:ind w:left="1701" w:hanging="567"/>
        <w:rPr>
          <w:rFonts w:eastAsia="Calibri"/>
        </w:rPr>
      </w:pPr>
      <w:r>
        <w:rPr>
          <w:rFonts w:eastAsia="Calibri"/>
        </w:rPr>
        <w:t>(ii)</w:t>
      </w:r>
      <w:r>
        <w:rPr>
          <w:rFonts w:eastAsia="Calibri"/>
        </w:rPr>
        <w:tab/>
        <w:t>in paragraph (c)</w:t>
      </w:r>
      <w:r w:rsidR="00524BDA">
        <w:rPr>
          <w:rFonts w:eastAsia="Calibri"/>
        </w:rPr>
        <w:t>,</w:t>
      </w:r>
      <w:r>
        <w:rPr>
          <w:rFonts w:eastAsia="Calibri"/>
        </w:rPr>
        <w:t xml:space="preserve"> by </w:t>
      </w:r>
      <w:r w:rsidR="00B9071E">
        <w:rPr>
          <w:rFonts w:eastAsia="Calibri"/>
        </w:rPr>
        <w:t>inserting after the words “reporting issuer” the words “or listed company”;</w:t>
      </w:r>
    </w:p>
    <w:p w14:paraId="13E01CA4" w14:textId="02508592" w:rsidR="009A013B" w:rsidRDefault="00B9071E" w:rsidP="00672CA7">
      <w:pPr>
        <w:ind w:left="1701" w:hanging="567"/>
        <w:rPr>
          <w:rFonts w:eastAsia="Calibri"/>
        </w:rPr>
      </w:pPr>
      <w:r>
        <w:rPr>
          <w:rFonts w:eastAsia="Calibri"/>
        </w:rPr>
        <w:t>(iii)</w:t>
      </w:r>
      <w:r>
        <w:rPr>
          <w:rFonts w:eastAsia="Calibri"/>
        </w:rPr>
        <w:tab/>
        <w:t>in paragraph (</w:t>
      </w:r>
      <w:r w:rsidR="00EF4696">
        <w:rPr>
          <w:rFonts w:eastAsia="Calibri"/>
        </w:rPr>
        <w:t>e)</w:t>
      </w:r>
      <w:r w:rsidR="004C7B5B">
        <w:rPr>
          <w:rFonts w:eastAsia="Calibri"/>
        </w:rPr>
        <w:t>,</w:t>
      </w:r>
      <w:r w:rsidR="00EF4696">
        <w:rPr>
          <w:rFonts w:eastAsia="Calibri"/>
        </w:rPr>
        <w:t xml:space="preserve"> by </w:t>
      </w:r>
      <w:r w:rsidR="009A013B">
        <w:rPr>
          <w:rFonts w:eastAsia="Calibri"/>
        </w:rPr>
        <w:t xml:space="preserve">deleting the words “issuer” and </w:t>
      </w:r>
      <w:r w:rsidR="004C7B5B">
        <w:rPr>
          <w:rFonts w:eastAsia="Calibri"/>
        </w:rPr>
        <w:t>replacing them by the</w:t>
      </w:r>
      <w:r w:rsidR="009A013B">
        <w:rPr>
          <w:rFonts w:eastAsia="Calibri"/>
        </w:rPr>
        <w:t xml:space="preserve"> words “reporting issuer or listed company”;</w:t>
      </w:r>
    </w:p>
    <w:p w14:paraId="104AE210" w14:textId="41B7462C" w:rsidR="00835D2C" w:rsidRDefault="00F07FE4" w:rsidP="00672CA7">
      <w:pPr>
        <w:ind w:left="1134" w:hanging="567"/>
        <w:rPr>
          <w:rFonts w:eastAsia="Calibri"/>
        </w:rPr>
      </w:pPr>
      <w:r>
        <w:rPr>
          <w:rFonts w:eastAsia="Calibri"/>
        </w:rPr>
        <w:t>(d)</w:t>
      </w:r>
      <w:r>
        <w:rPr>
          <w:rFonts w:eastAsia="Calibri"/>
        </w:rPr>
        <w:tab/>
        <w:t>in subsection (7)</w:t>
      </w:r>
      <w:r w:rsidR="004C7B5B">
        <w:rPr>
          <w:rFonts w:eastAsia="Calibri"/>
        </w:rPr>
        <w:t>,</w:t>
      </w:r>
      <w:r w:rsidR="005941F5" w:rsidRPr="005941F5">
        <w:rPr>
          <w:rFonts w:eastAsia="Calibri"/>
        </w:rPr>
        <w:t xml:space="preserve"> </w:t>
      </w:r>
      <w:r w:rsidR="005941F5">
        <w:rPr>
          <w:rFonts w:eastAsia="Calibri"/>
        </w:rPr>
        <w:t>by inserting after the words “reporting issuer” the words “or listed company”;</w:t>
      </w:r>
    </w:p>
    <w:p w14:paraId="73292D68" w14:textId="64D6E24B" w:rsidR="00835D2C" w:rsidRDefault="00835D2C" w:rsidP="00672CA7">
      <w:pPr>
        <w:tabs>
          <w:tab w:val="left" w:pos="1418"/>
        </w:tabs>
        <w:ind w:left="1134" w:hanging="567"/>
        <w:rPr>
          <w:rFonts w:eastAsia="Calibri"/>
        </w:rPr>
      </w:pPr>
      <w:r>
        <w:rPr>
          <w:rFonts w:eastAsia="Calibri"/>
        </w:rPr>
        <w:t>(e)</w:t>
      </w:r>
      <w:r>
        <w:rPr>
          <w:rFonts w:eastAsia="Calibri"/>
        </w:rPr>
        <w:tab/>
        <w:t>in paragraph (</w:t>
      </w:r>
      <w:r w:rsidR="00CC0F43">
        <w:rPr>
          <w:rFonts w:eastAsia="Calibri"/>
        </w:rPr>
        <w:t>8</w:t>
      </w:r>
      <w:r>
        <w:rPr>
          <w:rFonts w:eastAsia="Calibri"/>
        </w:rPr>
        <w:t>)</w:t>
      </w:r>
      <w:r w:rsidR="004C7B5B">
        <w:rPr>
          <w:rFonts w:eastAsia="Calibri"/>
        </w:rPr>
        <w:t>,</w:t>
      </w:r>
      <w:r>
        <w:rPr>
          <w:rFonts w:eastAsia="Calibri"/>
        </w:rPr>
        <w:t xml:space="preserve"> by deleting the word “issuer” and </w:t>
      </w:r>
      <w:r w:rsidR="00BC19CC">
        <w:rPr>
          <w:rFonts w:eastAsia="Calibri"/>
        </w:rPr>
        <w:t xml:space="preserve">replacing </w:t>
      </w:r>
      <w:r w:rsidR="005F52DD">
        <w:rPr>
          <w:rFonts w:eastAsia="Calibri"/>
        </w:rPr>
        <w:t>it</w:t>
      </w:r>
      <w:r w:rsidR="00BC19CC">
        <w:rPr>
          <w:rFonts w:eastAsia="Calibri"/>
        </w:rPr>
        <w:t xml:space="preserve"> by </w:t>
      </w:r>
      <w:r>
        <w:rPr>
          <w:rFonts w:eastAsia="Calibri"/>
        </w:rPr>
        <w:t>the words “reporting issuer or listed company”;</w:t>
      </w:r>
    </w:p>
    <w:p w14:paraId="4E7CA987" w14:textId="6F1F525D" w:rsidR="006911CD" w:rsidRDefault="00CC0F43" w:rsidP="00033864">
      <w:pPr>
        <w:tabs>
          <w:tab w:val="left" w:pos="1134"/>
        </w:tabs>
        <w:ind w:left="1134" w:hanging="567"/>
        <w:rPr>
          <w:rFonts w:eastAsia="Calibri"/>
        </w:rPr>
      </w:pPr>
      <w:r>
        <w:rPr>
          <w:rFonts w:eastAsia="Calibri"/>
        </w:rPr>
        <w:t>(f)</w:t>
      </w:r>
      <w:r>
        <w:rPr>
          <w:rFonts w:eastAsia="Calibri"/>
        </w:rPr>
        <w:tab/>
      </w:r>
      <w:r w:rsidR="006911CD">
        <w:rPr>
          <w:rFonts w:eastAsia="Calibri"/>
        </w:rPr>
        <w:t>in paragraph (</w:t>
      </w:r>
      <w:r w:rsidR="009E1481">
        <w:rPr>
          <w:rFonts w:eastAsia="Calibri"/>
        </w:rPr>
        <w:t>9</w:t>
      </w:r>
      <w:r w:rsidR="006911CD">
        <w:rPr>
          <w:rFonts w:eastAsia="Calibri"/>
        </w:rPr>
        <w:t>)</w:t>
      </w:r>
      <w:r w:rsidR="007C7A3F">
        <w:rPr>
          <w:rFonts w:eastAsia="Calibri"/>
        </w:rPr>
        <w:t>,</w:t>
      </w:r>
      <w:r w:rsidR="006911CD">
        <w:rPr>
          <w:rFonts w:eastAsia="Calibri"/>
        </w:rPr>
        <w:t xml:space="preserve"> </w:t>
      </w:r>
      <w:r w:rsidR="005F52DD">
        <w:rPr>
          <w:rFonts w:eastAsia="Calibri"/>
        </w:rPr>
        <w:t xml:space="preserve">by inserting </w:t>
      </w:r>
      <w:r w:rsidR="009E1481">
        <w:rPr>
          <w:rFonts w:eastAsia="Calibri"/>
        </w:rPr>
        <w:t xml:space="preserve">after the words </w:t>
      </w:r>
      <w:r w:rsidR="006911CD">
        <w:rPr>
          <w:rFonts w:eastAsia="Calibri"/>
        </w:rPr>
        <w:t>“</w:t>
      </w:r>
      <w:r w:rsidR="009E1481">
        <w:rPr>
          <w:rFonts w:eastAsia="Calibri"/>
        </w:rPr>
        <w:t xml:space="preserve">reporting </w:t>
      </w:r>
      <w:r w:rsidR="006911CD">
        <w:rPr>
          <w:rFonts w:eastAsia="Calibri"/>
        </w:rPr>
        <w:t>issuer” the words “or listed company”</w:t>
      </w:r>
      <w:r w:rsidR="009E1481">
        <w:rPr>
          <w:rFonts w:eastAsia="Calibri"/>
        </w:rPr>
        <w:t>.</w:t>
      </w:r>
    </w:p>
    <w:p w14:paraId="01863870" w14:textId="672796F7" w:rsidR="00E4528B" w:rsidRPr="001C3FE7" w:rsidRDefault="0066709D" w:rsidP="001C3FE7">
      <w:pPr>
        <w:pStyle w:val="iLAWS300Article"/>
        <w:rPr>
          <w:rFonts w:ascii="Arial" w:hAnsi="Arial" w:cs="Arial"/>
        </w:rPr>
      </w:pPr>
      <w:bookmarkStart w:id="55" w:name="_Toc136474868"/>
      <w:bookmarkStart w:id="56" w:name="_Toc151283288"/>
      <w:r>
        <w:rPr>
          <w:rFonts w:eastAsia="Calibri" w:cs="Calibri"/>
        </w:rPr>
        <w:t>21</w:t>
      </w:r>
      <w:r w:rsidR="00E4528B" w:rsidRPr="001C3FE7">
        <w:rPr>
          <w:rFonts w:ascii="Arial" w:eastAsia="Arial" w:hAnsi="Arial" w:cs="Arial"/>
        </w:rPr>
        <w:tab/>
        <w:t xml:space="preserve">Section </w:t>
      </w:r>
      <w:r w:rsidR="00EC778C" w:rsidRPr="001C3FE7">
        <w:rPr>
          <w:rFonts w:ascii="Arial" w:eastAsia="Arial" w:hAnsi="Arial" w:cs="Arial"/>
        </w:rPr>
        <w:t>88</w:t>
      </w:r>
      <w:r w:rsidR="00E4528B" w:rsidRPr="001C3FE7">
        <w:rPr>
          <w:rFonts w:ascii="Arial" w:eastAsia="Arial" w:hAnsi="Arial" w:cs="Arial"/>
        </w:rPr>
        <w:t xml:space="preserve"> of the principal Act amended</w:t>
      </w:r>
      <w:bookmarkStart w:id="57" w:name="_Hlk134493427"/>
      <w:bookmarkEnd w:id="55"/>
      <w:bookmarkEnd w:id="56"/>
    </w:p>
    <w:bookmarkEnd w:id="57"/>
    <w:p w14:paraId="3E7B56CB" w14:textId="376A2F0A" w:rsidR="002A5DFC" w:rsidRDefault="00CF61FD" w:rsidP="00DC2B34">
      <w:pPr>
        <w:spacing w:before="240" w:after="120" w:line="240" w:lineRule="auto"/>
        <w:ind w:left="567" w:right="1185" w:firstLine="0"/>
      </w:pPr>
      <w:r>
        <w:t xml:space="preserve">Section 88 of the principal Act is amended </w:t>
      </w:r>
      <w:bookmarkStart w:id="58" w:name="_Hlk136303603"/>
      <w:r>
        <w:t xml:space="preserve">by </w:t>
      </w:r>
      <w:r w:rsidR="003D0AF8">
        <w:t>repealing</w:t>
      </w:r>
      <w:r>
        <w:t xml:space="preserve"> subsection (1) and </w:t>
      </w:r>
      <w:r w:rsidR="003D0AF8">
        <w:t xml:space="preserve">replacing </w:t>
      </w:r>
      <w:r w:rsidR="00012A4D">
        <w:t>it</w:t>
      </w:r>
      <w:r w:rsidR="003D0AF8">
        <w:t xml:space="preserve"> </w:t>
      </w:r>
      <w:r w:rsidR="00B97857">
        <w:t xml:space="preserve">by </w:t>
      </w:r>
      <w:r w:rsidR="003D0AF8">
        <w:t>t</w:t>
      </w:r>
      <w:r>
        <w:t>he fol</w:t>
      </w:r>
      <w:r w:rsidR="001C1F69">
        <w:t>l</w:t>
      </w:r>
      <w:r>
        <w:t>ow</w:t>
      </w:r>
      <w:r w:rsidR="001C1F69">
        <w:t>ing</w:t>
      </w:r>
      <w:r>
        <w:t xml:space="preserve"> </w:t>
      </w:r>
      <w:r w:rsidR="001C1F69">
        <w:t>subsection—</w:t>
      </w:r>
    </w:p>
    <w:p w14:paraId="614E91B5" w14:textId="4EEA48FF" w:rsidR="00D15DDC" w:rsidRPr="00D15DDC" w:rsidRDefault="00D15DDC" w:rsidP="00DC2B34">
      <w:pPr>
        <w:ind w:left="1134" w:right="1187" w:hanging="567"/>
      </w:pPr>
      <w:bookmarkStart w:id="59" w:name="_Hlk138592908"/>
      <w:bookmarkEnd w:id="58"/>
      <w:r>
        <w:t>“(1)</w:t>
      </w:r>
      <w:r>
        <w:tab/>
      </w:r>
      <w:r w:rsidRPr="00D15DDC">
        <w:t>Every reporting issuer</w:t>
      </w:r>
      <w:r w:rsidR="007478C7">
        <w:t xml:space="preserve"> or listed company </w:t>
      </w:r>
      <w:r w:rsidRPr="00D15DDC">
        <w:t>shall file with the Commission and make public comparative semi-annual financial statements prepared in accordance with IFRS and such other standards as may be issued under the Financial Reporting Act, as soon as possible, but not later than 45 days after the end of each half-year.</w:t>
      </w:r>
      <w:r>
        <w:t>”.</w:t>
      </w:r>
      <w:bookmarkEnd w:id="59"/>
    </w:p>
    <w:p w14:paraId="39480259" w14:textId="06818EF6" w:rsidR="00B61D7C" w:rsidRPr="009F7272" w:rsidRDefault="007C306C" w:rsidP="009F7272">
      <w:pPr>
        <w:pStyle w:val="iLAWS300Article"/>
        <w:rPr>
          <w:rFonts w:ascii="Arial" w:hAnsi="Arial" w:cs="Arial"/>
        </w:rPr>
      </w:pPr>
      <w:bookmarkStart w:id="60" w:name="_Toc151283289"/>
      <w:r>
        <w:rPr>
          <w:rFonts w:ascii="Arial" w:eastAsia="Arial" w:hAnsi="Arial" w:cs="Arial"/>
        </w:rPr>
        <w:t>2</w:t>
      </w:r>
      <w:r w:rsidR="0066709D">
        <w:rPr>
          <w:rFonts w:ascii="Arial" w:eastAsia="Arial" w:hAnsi="Arial" w:cs="Arial"/>
        </w:rPr>
        <w:t>2</w:t>
      </w:r>
      <w:r w:rsidR="00B61D7C" w:rsidRPr="009F7272">
        <w:rPr>
          <w:rFonts w:ascii="Arial" w:eastAsia="Arial" w:hAnsi="Arial" w:cs="Arial"/>
        </w:rPr>
        <w:tab/>
        <w:t>Section 8</w:t>
      </w:r>
      <w:r w:rsidR="009F7272">
        <w:rPr>
          <w:rFonts w:ascii="Arial" w:eastAsia="Arial" w:hAnsi="Arial" w:cs="Arial"/>
        </w:rPr>
        <w:t>9</w:t>
      </w:r>
      <w:r w:rsidR="00B61D7C" w:rsidRPr="009F7272">
        <w:rPr>
          <w:rFonts w:ascii="Arial" w:eastAsia="Arial" w:hAnsi="Arial" w:cs="Arial"/>
        </w:rPr>
        <w:t xml:space="preserve"> of the principal Act amended</w:t>
      </w:r>
      <w:bookmarkEnd w:id="60"/>
    </w:p>
    <w:p w14:paraId="682AD9F4" w14:textId="77777777" w:rsidR="00DD2C85" w:rsidRDefault="00B165EB" w:rsidP="00DD2C85">
      <w:pPr>
        <w:spacing w:before="240" w:after="120" w:line="247" w:lineRule="auto"/>
        <w:ind w:left="567" w:right="1168" w:firstLine="0"/>
        <w:rPr>
          <w:rFonts w:eastAsia="Calibri"/>
        </w:rPr>
      </w:pPr>
      <w:r>
        <w:rPr>
          <w:rFonts w:eastAsia="Calibri"/>
        </w:rPr>
        <w:t>S</w:t>
      </w:r>
      <w:r w:rsidR="00EC778C">
        <w:rPr>
          <w:rFonts w:eastAsia="Calibri"/>
        </w:rPr>
        <w:t xml:space="preserve">ection </w:t>
      </w:r>
      <w:r w:rsidR="00566C4B">
        <w:rPr>
          <w:rFonts w:eastAsia="Calibri"/>
        </w:rPr>
        <w:t>89</w:t>
      </w:r>
      <w:r w:rsidR="00F218B0">
        <w:rPr>
          <w:rFonts w:eastAsia="Calibri"/>
        </w:rPr>
        <w:t xml:space="preserve"> of the principal Act is amended</w:t>
      </w:r>
      <w:r w:rsidR="00A471AA">
        <w:rPr>
          <w:rFonts w:eastAsia="Calibri"/>
        </w:rPr>
        <w:t xml:space="preserve"> in </w:t>
      </w:r>
      <w:r w:rsidR="000E007D">
        <w:rPr>
          <w:rFonts w:eastAsia="Calibri"/>
        </w:rPr>
        <w:t>s</w:t>
      </w:r>
      <w:r w:rsidR="00A471AA">
        <w:rPr>
          <w:rFonts w:eastAsia="Calibri"/>
        </w:rPr>
        <w:t xml:space="preserve">ubsections (1) and (2) by inserting after the words “reporting issuer” wherever </w:t>
      </w:r>
      <w:r w:rsidR="00CE2D3F">
        <w:rPr>
          <w:rFonts w:eastAsia="Calibri"/>
        </w:rPr>
        <w:t>the</w:t>
      </w:r>
      <w:r w:rsidR="00762C9D">
        <w:rPr>
          <w:rFonts w:eastAsia="Calibri"/>
        </w:rPr>
        <w:t>y</w:t>
      </w:r>
      <w:r w:rsidR="00CE2D3F">
        <w:rPr>
          <w:rFonts w:eastAsia="Calibri"/>
        </w:rPr>
        <w:t xml:space="preserve"> occur the words “or lis</w:t>
      </w:r>
      <w:r w:rsidR="000E007D">
        <w:rPr>
          <w:rFonts w:eastAsia="Calibri"/>
        </w:rPr>
        <w:t>t</w:t>
      </w:r>
      <w:r w:rsidR="00CE2D3F">
        <w:rPr>
          <w:rFonts w:eastAsia="Calibri"/>
        </w:rPr>
        <w:t>ed company”</w:t>
      </w:r>
      <w:r w:rsidR="000E007D">
        <w:rPr>
          <w:rFonts w:eastAsia="Calibri"/>
        </w:rPr>
        <w:t>.</w:t>
      </w:r>
    </w:p>
    <w:p w14:paraId="6CE2BCA8" w14:textId="0D7E62BA" w:rsidR="00B61D7C" w:rsidRPr="00DD2C85" w:rsidRDefault="007C306C" w:rsidP="00DD2C85">
      <w:pPr>
        <w:pStyle w:val="iLAWS300Article"/>
        <w:rPr>
          <w:rStyle w:val="iLAWS914ArticleNumber"/>
          <w:rFonts w:ascii="Times New Roman" w:eastAsia="Calibri" w:hAnsi="Times New Roman"/>
        </w:rPr>
      </w:pPr>
      <w:bookmarkStart w:id="61" w:name="_Toc151283290"/>
      <w:bookmarkStart w:id="62" w:name="_Hlk136475859"/>
      <w:r>
        <w:rPr>
          <w:rStyle w:val="iLAWS914ArticleNumber"/>
          <w:rFonts w:ascii="Arial" w:eastAsia="Arial" w:hAnsi="Arial" w:cs="Arial"/>
        </w:rPr>
        <w:t>2</w:t>
      </w:r>
      <w:r w:rsidR="0066709D">
        <w:rPr>
          <w:rStyle w:val="iLAWS914ArticleNumber"/>
          <w:rFonts w:ascii="Arial" w:eastAsia="Arial" w:hAnsi="Arial" w:cs="Arial"/>
        </w:rPr>
        <w:t>3</w:t>
      </w:r>
      <w:r w:rsidR="00DD2C85">
        <w:rPr>
          <w:rStyle w:val="iLAWS914ArticleNumber"/>
          <w:rFonts w:ascii="Arial" w:eastAsia="Arial" w:hAnsi="Arial" w:cs="Arial"/>
        </w:rPr>
        <w:tab/>
      </w:r>
      <w:r w:rsidR="00B61D7C" w:rsidRPr="004C653C">
        <w:rPr>
          <w:rStyle w:val="iLAWS914ArticleNumber"/>
          <w:rFonts w:ascii="Arial" w:eastAsia="Arial" w:hAnsi="Arial" w:cs="Arial"/>
        </w:rPr>
        <w:t xml:space="preserve">Section </w:t>
      </w:r>
      <w:r w:rsidR="004C653C">
        <w:rPr>
          <w:rStyle w:val="iLAWS914ArticleNumber"/>
          <w:rFonts w:ascii="Arial" w:eastAsia="Arial" w:hAnsi="Arial" w:cs="Arial"/>
        </w:rPr>
        <w:t>90</w:t>
      </w:r>
      <w:r w:rsidR="00B61D7C" w:rsidRPr="004C653C">
        <w:rPr>
          <w:rStyle w:val="iLAWS914ArticleNumber"/>
          <w:rFonts w:ascii="Arial" w:eastAsia="Arial" w:hAnsi="Arial" w:cs="Arial"/>
        </w:rPr>
        <w:t xml:space="preserve"> of the principal Act amended</w:t>
      </w:r>
      <w:bookmarkEnd w:id="61"/>
    </w:p>
    <w:bookmarkEnd w:id="62"/>
    <w:p w14:paraId="769476CB" w14:textId="6E9B47B5" w:rsidR="00EC778C" w:rsidRDefault="00384487" w:rsidP="004C653C">
      <w:pPr>
        <w:spacing w:before="240" w:after="120" w:line="247" w:lineRule="auto"/>
        <w:ind w:left="567" w:right="1168" w:firstLine="0"/>
        <w:rPr>
          <w:rFonts w:eastAsia="Calibri"/>
        </w:rPr>
      </w:pPr>
      <w:r>
        <w:rPr>
          <w:rFonts w:eastAsia="Calibri"/>
        </w:rPr>
        <w:t>S</w:t>
      </w:r>
      <w:r w:rsidR="00EC778C">
        <w:rPr>
          <w:rFonts w:eastAsia="Calibri"/>
        </w:rPr>
        <w:t xml:space="preserve">ection 90 </w:t>
      </w:r>
      <w:r>
        <w:rPr>
          <w:rFonts w:eastAsia="Calibri"/>
        </w:rPr>
        <w:t xml:space="preserve">of the principal Act is amended </w:t>
      </w:r>
      <w:r w:rsidR="00EC6A54">
        <w:rPr>
          <w:rFonts w:eastAsia="Calibri"/>
        </w:rPr>
        <w:t>in subsections (1) and (2) by inserting after the words “reporting issuer” wherever the</w:t>
      </w:r>
      <w:r w:rsidR="00762C9D">
        <w:rPr>
          <w:rFonts w:eastAsia="Calibri"/>
        </w:rPr>
        <w:t>y</w:t>
      </w:r>
      <w:r w:rsidR="00EC6A54">
        <w:rPr>
          <w:rFonts w:eastAsia="Calibri"/>
        </w:rPr>
        <w:t xml:space="preserve"> occur the words “or listed company”</w:t>
      </w:r>
      <w:r w:rsidR="00256A13">
        <w:rPr>
          <w:rFonts w:eastAsia="Calibri"/>
        </w:rPr>
        <w:t>.</w:t>
      </w:r>
    </w:p>
    <w:p w14:paraId="6C2AF3A0" w14:textId="046F28CF" w:rsidR="00DD2C85" w:rsidRPr="00DD2C85" w:rsidRDefault="002949F2" w:rsidP="00DD2C85">
      <w:pPr>
        <w:pStyle w:val="iLAWS300Article"/>
        <w:rPr>
          <w:rStyle w:val="iLAWS914ArticleNumber"/>
          <w:rFonts w:ascii="Times New Roman" w:eastAsia="Calibri" w:hAnsi="Times New Roman"/>
        </w:rPr>
      </w:pPr>
      <w:bookmarkStart w:id="63" w:name="_Toc151283291"/>
      <w:r>
        <w:rPr>
          <w:rStyle w:val="iLAWS914ArticleNumber"/>
          <w:rFonts w:ascii="Arial" w:eastAsia="Arial" w:hAnsi="Arial" w:cs="Arial"/>
        </w:rPr>
        <w:t>2</w:t>
      </w:r>
      <w:r w:rsidR="0066709D">
        <w:rPr>
          <w:rStyle w:val="iLAWS914ArticleNumber"/>
          <w:rFonts w:ascii="Arial" w:eastAsia="Arial" w:hAnsi="Arial" w:cs="Arial"/>
        </w:rPr>
        <w:t>4</w:t>
      </w:r>
      <w:r w:rsidR="00DD2C85">
        <w:rPr>
          <w:rStyle w:val="iLAWS914ArticleNumber"/>
          <w:rFonts w:ascii="Arial" w:eastAsia="Arial" w:hAnsi="Arial" w:cs="Arial"/>
        </w:rPr>
        <w:tab/>
      </w:r>
      <w:r w:rsidR="00DD2C85" w:rsidRPr="004C653C">
        <w:rPr>
          <w:rStyle w:val="iLAWS914ArticleNumber"/>
          <w:rFonts w:ascii="Arial" w:eastAsia="Arial" w:hAnsi="Arial" w:cs="Arial"/>
        </w:rPr>
        <w:t xml:space="preserve">Section </w:t>
      </w:r>
      <w:r w:rsidR="00DD2C85">
        <w:rPr>
          <w:rStyle w:val="iLAWS914ArticleNumber"/>
          <w:rFonts w:ascii="Arial" w:eastAsia="Arial" w:hAnsi="Arial" w:cs="Arial"/>
        </w:rPr>
        <w:t>91</w:t>
      </w:r>
      <w:r w:rsidR="00DD2C85" w:rsidRPr="004C653C">
        <w:rPr>
          <w:rStyle w:val="iLAWS914ArticleNumber"/>
          <w:rFonts w:ascii="Arial" w:eastAsia="Arial" w:hAnsi="Arial" w:cs="Arial"/>
        </w:rPr>
        <w:t xml:space="preserve"> of the principal Act amended</w:t>
      </w:r>
      <w:bookmarkEnd w:id="63"/>
    </w:p>
    <w:p w14:paraId="1642CFF4" w14:textId="50F02FE4" w:rsidR="000A67C5" w:rsidRDefault="00AD70BC" w:rsidP="00DD2C85">
      <w:pPr>
        <w:spacing w:before="240" w:after="120" w:line="247" w:lineRule="auto"/>
        <w:ind w:left="6" w:right="1168" w:firstLine="561"/>
        <w:rPr>
          <w:rFonts w:eastAsia="Calibri"/>
        </w:rPr>
      </w:pPr>
      <w:r>
        <w:rPr>
          <w:rFonts w:eastAsia="Calibri"/>
        </w:rPr>
        <w:t>S</w:t>
      </w:r>
      <w:r w:rsidR="00EC778C">
        <w:rPr>
          <w:rFonts w:eastAsia="Calibri"/>
        </w:rPr>
        <w:t>ection 91</w:t>
      </w:r>
      <w:r>
        <w:rPr>
          <w:rFonts w:eastAsia="Calibri"/>
        </w:rPr>
        <w:t xml:space="preserve"> of the principal Act is amended </w:t>
      </w:r>
      <w:r w:rsidR="0097371E" w:rsidRPr="00695D8C">
        <w:rPr>
          <w:rFonts w:eastAsia="Calibri"/>
        </w:rPr>
        <w:t>—</w:t>
      </w:r>
    </w:p>
    <w:p w14:paraId="3A6B754D" w14:textId="063BCB0D" w:rsidR="00B3670D" w:rsidRDefault="0097371E" w:rsidP="00EC778C">
      <w:pPr>
        <w:ind w:firstLine="559"/>
        <w:rPr>
          <w:rFonts w:eastAsia="Calibri"/>
        </w:rPr>
      </w:pPr>
      <w:r>
        <w:rPr>
          <w:rFonts w:eastAsia="Calibri"/>
        </w:rPr>
        <w:t>(a)</w:t>
      </w:r>
      <w:r>
        <w:rPr>
          <w:rFonts w:eastAsia="Calibri"/>
        </w:rPr>
        <w:tab/>
      </w:r>
      <w:r w:rsidR="000A67C5">
        <w:rPr>
          <w:rFonts w:eastAsia="Calibri"/>
        </w:rPr>
        <w:t>in subsection (1</w:t>
      </w:r>
      <w:r w:rsidR="003501FB">
        <w:rPr>
          <w:rFonts w:eastAsia="Calibri"/>
        </w:rPr>
        <w:t>)</w:t>
      </w:r>
      <w:r w:rsidRPr="00695D8C">
        <w:rPr>
          <w:rFonts w:eastAsia="Calibri"/>
        </w:rPr>
        <w:t>—</w:t>
      </w:r>
    </w:p>
    <w:p w14:paraId="47B0EBF6" w14:textId="19BB26C8" w:rsidR="0097371E" w:rsidRDefault="0097371E" w:rsidP="0097371E">
      <w:pPr>
        <w:ind w:left="728" w:firstLine="712"/>
        <w:rPr>
          <w:rFonts w:eastAsia="Calibri"/>
        </w:rPr>
      </w:pPr>
      <w:r>
        <w:rPr>
          <w:rFonts w:eastAsia="Calibri"/>
        </w:rPr>
        <w:t>(i)</w:t>
      </w:r>
      <w:r>
        <w:rPr>
          <w:rFonts w:eastAsia="Calibri"/>
        </w:rPr>
        <w:tab/>
      </w:r>
      <w:r w:rsidR="000A67C5">
        <w:rPr>
          <w:rFonts w:eastAsia="Calibri"/>
        </w:rPr>
        <w:t xml:space="preserve">by inserting after the words </w:t>
      </w:r>
      <w:r w:rsidR="00B3670D">
        <w:rPr>
          <w:rFonts w:eastAsia="Calibri"/>
        </w:rPr>
        <w:t>“notify the” the word “reporting”</w:t>
      </w:r>
      <w:r>
        <w:rPr>
          <w:rFonts w:eastAsia="Calibri"/>
        </w:rPr>
        <w:t>;</w:t>
      </w:r>
    </w:p>
    <w:p w14:paraId="0D7773E6" w14:textId="7E9C6167" w:rsidR="00B3670D" w:rsidRDefault="0097371E" w:rsidP="0097371E">
      <w:pPr>
        <w:ind w:left="2127" w:hanging="687"/>
        <w:rPr>
          <w:rFonts w:eastAsia="Calibri"/>
        </w:rPr>
      </w:pPr>
      <w:r>
        <w:rPr>
          <w:rFonts w:eastAsia="Calibri"/>
        </w:rPr>
        <w:t>(ii)</w:t>
      </w:r>
      <w:r>
        <w:rPr>
          <w:rFonts w:eastAsia="Calibri"/>
        </w:rPr>
        <w:tab/>
      </w:r>
      <w:r w:rsidR="00676DCF">
        <w:rPr>
          <w:rFonts w:eastAsia="Calibri"/>
        </w:rPr>
        <w:t>by inserting after the words “reporting issuer” wherever they occur the words “</w:t>
      </w:r>
      <w:r>
        <w:rPr>
          <w:rFonts w:eastAsia="Calibri"/>
        </w:rPr>
        <w:t>or listed company</w:t>
      </w:r>
      <w:r w:rsidR="00AD70BC">
        <w:rPr>
          <w:rFonts w:eastAsia="Calibri"/>
        </w:rPr>
        <w:t>”;</w:t>
      </w:r>
    </w:p>
    <w:p w14:paraId="5C629D1F" w14:textId="58FD5F67" w:rsidR="00EC778C" w:rsidRDefault="0097371E" w:rsidP="0097371E">
      <w:pPr>
        <w:ind w:left="1134" w:hanging="567"/>
        <w:rPr>
          <w:rFonts w:eastAsia="Calibri"/>
        </w:rPr>
      </w:pPr>
      <w:r>
        <w:rPr>
          <w:rFonts w:eastAsia="Calibri"/>
        </w:rPr>
        <w:t>(b)</w:t>
      </w:r>
      <w:r>
        <w:rPr>
          <w:rFonts w:eastAsia="Calibri"/>
        </w:rPr>
        <w:tab/>
        <w:t xml:space="preserve">in subsection </w:t>
      </w:r>
      <w:r w:rsidR="000A67C5">
        <w:rPr>
          <w:rFonts w:eastAsia="Calibri"/>
        </w:rPr>
        <w:t>(2) by inserting after the words “reporting issuer” wherever the</w:t>
      </w:r>
      <w:r w:rsidR="001C4A64">
        <w:rPr>
          <w:rFonts w:eastAsia="Calibri"/>
        </w:rPr>
        <w:t>y</w:t>
      </w:r>
      <w:r w:rsidR="000A67C5">
        <w:rPr>
          <w:rFonts w:eastAsia="Calibri"/>
        </w:rPr>
        <w:t xml:space="preserve"> occur the words “or listed company”.</w:t>
      </w:r>
    </w:p>
    <w:p w14:paraId="764ABF5B" w14:textId="5C23F323" w:rsidR="00DF55DC" w:rsidRPr="00DD2C85" w:rsidRDefault="002949F2" w:rsidP="00DF55DC">
      <w:pPr>
        <w:pStyle w:val="iLAWS300Article"/>
        <w:rPr>
          <w:rStyle w:val="iLAWS914ArticleNumber"/>
          <w:rFonts w:ascii="Times New Roman" w:eastAsia="Calibri" w:hAnsi="Times New Roman"/>
        </w:rPr>
      </w:pPr>
      <w:bookmarkStart w:id="64" w:name="_Toc151283292"/>
      <w:bookmarkStart w:id="65" w:name="_Hlk136303804"/>
      <w:r>
        <w:rPr>
          <w:rStyle w:val="iLAWS914ArticleNumber"/>
          <w:rFonts w:ascii="Arial" w:eastAsia="Arial" w:hAnsi="Arial" w:cs="Arial"/>
        </w:rPr>
        <w:t>2</w:t>
      </w:r>
      <w:r w:rsidR="0066709D">
        <w:rPr>
          <w:rStyle w:val="iLAWS914ArticleNumber"/>
          <w:rFonts w:ascii="Arial" w:eastAsia="Arial" w:hAnsi="Arial" w:cs="Arial"/>
        </w:rPr>
        <w:t>5</w:t>
      </w:r>
      <w:r w:rsidR="00DF55DC">
        <w:rPr>
          <w:rStyle w:val="iLAWS914ArticleNumber"/>
          <w:rFonts w:ascii="Arial" w:eastAsia="Arial" w:hAnsi="Arial" w:cs="Arial"/>
        </w:rPr>
        <w:tab/>
      </w:r>
      <w:r w:rsidR="00DF55DC" w:rsidRPr="004C653C">
        <w:rPr>
          <w:rStyle w:val="iLAWS914ArticleNumber"/>
          <w:rFonts w:ascii="Arial" w:eastAsia="Arial" w:hAnsi="Arial" w:cs="Arial"/>
        </w:rPr>
        <w:t xml:space="preserve">Section </w:t>
      </w:r>
      <w:r w:rsidR="00DF55DC">
        <w:rPr>
          <w:rStyle w:val="iLAWS914ArticleNumber"/>
          <w:rFonts w:ascii="Arial" w:eastAsia="Arial" w:hAnsi="Arial" w:cs="Arial"/>
        </w:rPr>
        <w:t>92</w:t>
      </w:r>
      <w:r w:rsidR="00DF55DC" w:rsidRPr="004C653C">
        <w:rPr>
          <w:rStyle w:val="iLAWS914ArticleNumber"/>
          <w:rFonts w:ascii="Arial" w:eastAsia="Arial" w:hAnsi="Arial" w:cs="Arial"/>
        </w:rPr>
        <w:t xml:space="preserve"> of the principal Act amended</w:t>
      </w:r>
      <w:bookmarkEnd w:id="64"/>
    </w:p>
    <w:bookmarkEnd w:id="65"/>
    <w:p w14:paraId="5CB36763" w14:textId="3EE95C35" w:rsidR="004B0279" w:rsidRDefault="00CF2DB8" w:rsidP="00DF55DC">
      <w:pPr>
        <w:spacing w:before="240" w:after="120" w:line="247" w:lineRule="auto"/>
        <w:ind w:left="567" w:right="1185" w:firstLine="0"/>
      </w:pPr>
      <w:r>
        <w:t xml:space="preserve">Section 92 of the principal Act is amended </w:t>
      </w:r>
      <w:r w:rsidR="004B0279">
        <w:t xml:space="preserve">by repealing subsection (1) and replacing it </w:t>
      </w:r>
      <w:r w:rsidR="001C4A64">
        <w:t>by</w:t>
      </w:r>
      <w:r w:rsidR="004B0279">
        <w:t xml:space="preserve"> the following subsection—</w:t>
      </w:r>
    </w:p>
    <w:p w14:paraId="76E2D337" w14:textId="16B86279" w:rsidR="00CF2DB8" w:rsidRPr="00CF2DB8" w:rsidRDefault="00CF2DB8" w:rsidP="00F929DD">
      <w:pPr>
        <w:spacing w:after="120"/>
        <w:ind w:left="1701" w:right="819" w:hanging="567"/>
      </w:pPr>
      <w:r>
        <w:t>“(1)</w:t>
      </w:r>
      <w:r>
        <w:tab/>
      </w:r>
      <w:r w:rsidRPr="00CF2DB8">
        <w:t>Where a reporting issuer or listed company is given a notice under section 90 or 91, the reporting issuer or listed company shall, before the end of the day following the day of notification, give a copy of the notice to</w:t>
      </w:r>
      <w:r w:rsidR="00B11C3A">
        <w:t xml:space="preserve"> </w:t>
      </w:r>
      <w:r w:rsidRPr="00CF2DB8">
        <w:t xml:space="preserve">—  </w:t>
      </w:r>
    </w:p>
    <w:p w14:paraId="76CDCDA7" w14:textId="57CEFEA9" w:rsidR="00CF2DB8" w:rsidRPr="00CF2DB8" w:rsidRDefault="00CF2DB8" w:rsidP="002D0489">
      <w:pPr>
        <w:numPr>
          <w:ilvl w:val="1"/>
          <w:numId w:val="8"/>
        </w:numPr>
        <w:tabs>
          <w:tab w:val="left" w:pos="2268"/>
        </w:tabs>
        <w:spacing w:after="120"/>
        <w:ind w:left="2268" w:right="819" w:hanging="567"/>
      </w:pPr>
      <w:r w:rsidRPr="00CF2DB8">
        <w:t>the Commission;</w:t>
      </w:r>
    </w:p>
    <w:p w14:paraId="5057766E" w14:textId="7C6F9D59" w:rsidR="00CF2DB8" w:rsidRDefault="00CF2DB8" w:rsidP="00B94F69">
      <w:pPr>
        <w:numPr>
          <w:ilvl w:val="1"/>
          <w:numId w:val="8"/>
        </w:numPr>
        <w:spacing w:after="120"/>
        <w:ind w:left="2268" w:right="819" w:hanging="567"/>
      </w:pPr>
      <w:r w:rsidRPr="00CF2DB8">
        <w:t>where the securities of the reporting issuer or listed company are listed on a securities exchange</w:t>
      </w:r>
      <w:r w:rsidR="00910D5F">
        <w:t>, the securities ex</w:t>
      </w:r>
      <w:r w:rsidR="0013582B">
        <w:t>c</w:t>
      </w:r>
      <w:r w:rsidR="00910D5F">
        <w:t>hange</w:t>
      </w:r>
      <w:r w:rsidRPr="00CF2DB8">
        <w:t>.</w:t>
      </w:r>
      <w:r>
        <w:t>”.</w:t>
      </w:r>
    </w:p>
    <w:p w14:paraId="701F92FC" w14:textId="52F938D2" w:rsidR="00F06692" w:rsidRPr="00D021DA" w:rsidRDefault="002949F2" w:rsidP="00D021DA">
      <w:pPr>
        <w:pStyle w:val="iLAWS300Article"/>
        <w:rPr>
          <w:rStyle w:val="iLAWS914ArticleNumber"/>
          <w:rFonts w:ascii="Arial" w:hAnsi="Arial" w:cs="Arial"/>
        </w:rPr>
      </w:pPr>
      <w:bookmarkStart w:id="66" w:name="_Toc151283293"/>
      <w:r>
        <w:rPr>
          <w:rStyle w:val="iLAWS914ArticleNumber"/>
          <w:rFonts w:ascii="Arial" w:eastAsia="Arial" w:hAnsi="Arial" w:cs="Arial"/>
        </w:rPr>
        <w:t>2</w:t>
      </w:r>
      <w:r w:rsidR="0066709D">
        <w:rPr>
          <w:rStyle w:val="iLAWS914ArticleNumber"/>
          <w:rFonts w:ascii="Arial" w:eastAsia="Arial" w:hAnsi="Arial" w:cs="Arial"/>
        </w:rPr>
        <w:t>6</w:t>
      </w:r>
      <w:r w:rsidR="00D021DA">
        <w:rPr>
          <w:rStyle w:val="iLAWS914ArticleNumber"/>
          <w:rFonts w:ascii="Arial" w:eastAsia="Arial" w:hAnsi="Arial" w:cs="Arial"/>
        </w:rPr>
        <w:tab/>
      </w:r>
      <w:r w:rsidR="00F06692" w:rsidRPr="00D021DA">
        <w:rPr>
          <w:rStyle w:val="iLAWS914ArticleNumber"/>
          <w:rFonts w:ascii="Arial" w:eastAsia="Arial" w:hAnsi="Arial" w:cs="Arial"/>
        </w:rPr>
        <w:t>Section 9</w:t>
      </w:r>
      <w:r w:rsidR="00D021DA">
        <w:rPr>
          <w:rStyle w:val="iLAWS914ArticleNumber"/>
          <w:rFonts w:ascii="Arial" w:eastAsia="Arial" w:hAnsi="Arial" w:cs="Arial"/>
        </w:rPr>
        <w:t>5</w:t>
      </w:r>
      <w:r w:rsidR="00F06692" w:rsidRPr="00D021DA">
        <w:rPr>
          <w:rStyle w:val="iLAWS914ArticleNumber"/>
          <w:rFonts w:ascii="Arial" w:eastAsia="Arial" w:hAnsi="Arial" w:cs="Arial"/>
        </w:rPr>
        <w:t xml:space="preserve"> of the principal Act amended</w:t>
      </w:r>
      <w:bookmarkEnd w:id="66"/>
    </w:p>
    <w:p w14:paraId="69192827" w14:textId="0628C694" w:rsidR="00CD0FF5" w:rsidRDefault="00D51C98" w:rsidP="008071E8">
      <w:pPr>
        <w:pStyle w:val="iLAWS301Paragraphunnumbered"/>
        <w:rPr>
          <w:rStyle w:val="iLAWS914ArticleNumber"/>
          <w:rFonts w:ascii="Arial" w:eastAsia="Arial" w:hAnsi="Arial" w:cs="Arial"/>
          <w:lang w:eastAsia="en-GB"/>
        </w:rPr>
      </w:pPr>
      <w:bookmarkStart w:id="67" w:name="_Hlk134496312"/>
      <w:r>
        <w:rPr>
          <w:rFonts w:eastAsia="Calibri"/>
        </w:rPr>
        <w:t xml:space="preserve">Section 95(1) </w:t>
      </w:r>
      <w:r w:rsidR="00E20154">
        <w:rPr>
          <w:rFonts w:eastAsia="Calibri"/>
        </w:rPr>
        <w:t>a</w:t>
      </w:r>
      <w:r>
        <w:rPr>
          <w:rFonts w:eastAsia="Calibri"/>
        </w:rPr>
        <w:t>nd (2) of the</w:t>
      </w:r>
      <w:r w:rsidR="00B17BBC">
        <w:rPr>
          <w:rFonts w:eastAsia="Calibri"/>
        </w:rPr>
        <w:t xml:space="preserve"> principal Act is amended in s</w:t>
      </w:r>
      <w:r w:rsidR="00CE72BE">
        <w:rPr>
          <w:rFonts w:eastAsia="Calibri"/>
        </w:rPr>
        <w:t xml:space="preserve">ection </w:t>
      </w:r>
      <w:r w:rsidR="00B17BBC">
        <w:rPr>
          <w:rFonts w:eastAsia="Calibri"/>
        </w:rPr>
        <w:t>95</w:t>
      </w:r>
      <w:r w:rsidR="00CE72BE">
        <w:rPr>
          <w:rFonts w:eastAsia="Calibri"/>
        </w:rPr>
        <w:t>(1) and (2) by inserting after the words “reporting issuer” wherever th</w:t>
      </w:r>
      <w:r w:rsidR="001C4A64">
        <w:rPr>
          <w:rFonts w:eastAsia="Calibri"/>
        </w:rPr>
        <w:t>ey</w:t>
      </w:r>
      <w:r w:rsidR="00CE72BE">
        <w:rPr>
          <w:rFonts w:eastAsia="Calibri"/>
        </w:rPr>
        <w:t xml:space="preserve"> occur </w:t>
      </w:r>
      <w:r w:rsidR="00B17BBC">
        <w:rPr>
          <w:rFonts w:eastAsia="Calibri"/>
        </w:rPr>
        <w:t>the wor</w:t>
      </w:r>
      <w:r w:rsidR="00CE72BE">
        <w:rPr>
          <w:rFonts w:eastAsia="Calibri"/>
        </w:rPr>
        <w:t>ds “or listed company”.</w:t>
      </w:r>
    </w:p>
    <w:p w14:paraId="6EAE006F" w14:textId="7D8CE0EE" w:rsidR="00C93AF6" w:rsidRPr="00E20154" w:rsidRDefault="00C93AF6" w:rsidP="00C93AF6">
      <w:pPr>
        <w:pStyle w:val="iLAWS300Article"/>
        <w:rPr>
          <w:rFonts w:ascii="Arial" w:eastAsia="Calibri" w:hAnsi="Arial" w:cs="Arial"/>
        </w:rPr>
      </w:pPr>
      <w:bookmarkStart w:id="68" w:name="_Toc151283294"/>
      <w:r>
        <w:rPr>
          <w:rStyle w:val="iLAWS914ArticleNumber"/>
          <w:rFonts w:ascii="Arial" w:eastAsia="Arial" w:hAnsi="Arial" w:cs="Arial"/>
        </w:rPr>
        <w:t>2</w:t>
      </w:r>
      <w:r w:rsidR="0066709D">
        <w:rPr>
          <w:rStyle w:val="iLAWS914ArticleNumber"/>
          <w:rFonts w:ascii="Arial" w:eastAsia="Arial" w:hAnsi="Arial" w:cs="Arial"/>
        </w:rPr>
        <w:t>7</w:t>
      </w:r>
      <w:r w:rsidRPr="00E20154">
        <w:rPr>
          <w:rFonts w:ascii="Arial" w:eastAsia="Arial" w:hAnsi="Arial" w:cs="Arial"/>
        </w:rPr>
        <w:tab/>
        <w:t>Section 97A of the principal Act inserted</w:t>
      </w:r>
      <w:bookmarkEnd w:id="68"/>
    </w:p>
    <w:p w14:paraId="24538AA0" w14:textId="5271EC7A" w:rsidR="00C93AF6" w:rsidRDefault="00C93AF6" w:rsidP="00C93AF6">
      <w:pPr>
        <w:tabs>
          <w:tab w:val="left" w:pos="567"/>
        </w:tabs>
        <w:ind w:left="0" w:firstLine="567"/>
        <w:rPr>
          <w:rFonts w:eastAsia="Calibri"/>
        </w:rPr>
      </w:pPr>
      <w:r>
        <w:rPr>
          <w:rFonts w:eastAsia="Calibri"/>
        </w:rPr>
        <w:t xml:space="preserve">The principal Act is amended by inserting after section 97 the following </w:t>
      </w:r>
      <w:r w:rsidR="00225BDD">
        <w:rPr>
          <w:rFonts w:eastAsia="Calibri"/>
        </w:rPr>
        <w:t xml:space="preserve">new </w:t>
      </w:r>
      <w:r>
        <w:rPr>
          <w:rFonts w:eastAsia="Calibri"/>
        </w:rPr>
        <w:t>section</w:t>
      </w:r>
      <w:r w:rsidRPr="00CF2DB8">
        <w:t>—</w:t>
      </w:r>
    </w:p>
    <w:p w14:paraId="33F9EFF9" w14:textId="1E127FAC" w:rsidR="00C93AF6" w:rsidRPr="00E20154" w:rsidRDefault="00C93AF6" w:rsidP="00C93AF6">
      <w:pPr>
        <w:ind w:left="1134" w:hanging="567"/>
        <w:rPr>
          <w:rFonts w:ascii="Arial" w:eastAsia="Calibri" w:hAnsi="Arial" w:cs="Arial"/>
        </w:rPr>
      </w:pPr>
      <w:r w:rsidRPr="00E20154">
        <w:rPr>
          <w:rFonts w:ascii="Arial" w:eastAsia="Calibri" w:hAnsi="Arial" w:cs="Arial"/>
        </w:rPr>
        <w:t>“</w:t>
      </w:r>
      <w:r w:rsidRPr="00E20154">
        <w:rPr>
          <w:rFonts w:ascii="Arial" w:eastAsia="Calibri" w:hAnsi="Arial" w:cs="Arial"/>
          <w:b/>
          <w:bCs/>
        </w:rPr>
        <w:t>97A</w:t>
      </w:r>
      <w:r w:rsidRPr="00E20154">
        <w:rPr>
          <w:rFonts w:ascii="Arial" w:eastAsia="Calibri" w:hAnsi="Arial" w:cs="Arial"/>
          <w:b/>
          <w:bCs/>
        </w:rPr>
        <w:tab/>
        <w:t>Valuation</w:t>
      </w:r>
    </w:p>
    <w:p w14:paraId="1677E0C0" w14:textId="77777777" w:rsidR="00C93AF6" w:rsidRDefault="00C93AF6" w:rsidP="00C93AF6">
      <w:pPr>
        <w:ind w:left="1134" w:hanging="567"/>
        <w:rPr>
          <w:rFonts w:eastAsia="Calibri"/>
          <w:lang w:val="en-US"/>
        </w:rPr>
      </w:pPr>
      <w:r>
        <w:rPr>
          <w:rFonts w:eastAsia="Calibri"/>
        </w:rPr>
        <w:t>The valuation, pricing and redemption of units</w:t>
      </w:r>
      <w:r w:rsidRPr="00CF3568">
        <w:rPr>
          <w:rFonts w:eastAsia="Calibri"/>
          <w:lang w:val="en-US"/>
        </w:rPr>
        <w:t xml:space="preserve"> shall be in accordance with FSC Rules</w:t>
      </w:r>
      <w:r>
        <w:rPr>
          <w:rFonts w:eastAsia="Calibri"/>
          <w:lang w:val="en-US"/>
        </w:rPr>
        <w:t>.”.</w:t>
      </w:r>
    </w:p>
    <w:p w14:paraId="66663BE1" w14:textId="670F4FE7" w:rsidR="00F00501" w:rsidRPr="00E20154" w:rsidRDefault="00F00501" w:rsidP="00F00501">
      <w:pPr>
        <w:pStyle w:val="iLAWS300Article"/>
        <w:rPr>
          <w:rFonts w:ascii="Arial" w:eastAsia="Calibri" w:hAnsi="Arial" w:cs="Arial"/>
        </w:rPr>
      </w:pPr>
      <w:bookmarkStart w:id="69" w:name="_Toc151283295"/>
      <w:r>
        <w:rPr>
          <w:rStyle w:val="iLAWS914ArticleNumber"/>
          <w:rFonts w:ascii="Arial" w:eastAsia="Arial" w:hAnsi="Arial" w:cs="Arial"/>
        </w:rPr>
        <w:t>2</w:t>
      </w:r>
      <w:r w:rsidR="0066709D">
        <w:rPr>
          <w:rStyle w:val="iLAWS914ArticleNumber"/>
          <w:rFonts w:ascii="Arial" w:eastAsia="Arial" w:hAnsi="Arial" w:cs="Arial"/>
        </w:rPr>
        <w:t>8</w:t>
      </w:r>
      <w:r w:rsidRPr="00E20154">
        <w:rPr>
          <w:rFonts w:ascii="Arial" w:eastAsia="Arial" w:hAnsi="Arial" w:cs="Arial"/>
        </w:rPr>
        <w:tab/>
        <w:t>Section 9</w:t>
      </w:r>
      <w:r>
        <w:rPr>
          <w:rFonts w:ascii="Arial" w:eastAsia="Arial" w:hAnsi="Arial" w:cs="Arial"/>
        </w:rPr>
        <w:t>8</w:t>
      </w:r>
      <w:r w:rsidRPr="00E20154">
        <w:rPr>
          <w:rFonts w:ascii="Arial" w:eastAsia="Arial" w:hAnsi="Arial" w:cs="Arial"/>
        </w:rPr>
        <w:t xml:space="preserve"> of the principal Act inserted</w:t>
      </w:r>
      <w:bookmarkEnd w:id="69"/>
    </w:p>
    <w:p w14:paraId="57193828" w14:textId="789C47B0" w:rsidR="00DD126F" w:rsidRDefault="00F00501" w:rsidP="00B237C4">
      <w:pPr>
        <w:tabs>
          <w:tab w:val="left" w:pos="567"/>
        </w:tabs>
        <w:spacing w:before="120" w:after="120" w:line="240" w:lineRule="auto"/>
        <w:ind w:left="0" w:right="1168" w:firstLine="567"/>
        <w:rPr>
          <w:rFonts w:eastAsia="Calibri"/>
        </w:rPr>
      </w:pPr>
      <w:r>
        <w:rPr>
          <w:rFonts w:eastAsia="Calibri"/>
        </w:rPr>
        <w:t>Section 98 of the principal Act is amended</w:t>
      </w:r>
      <w:bookmarkStart w:id="70" w:name="_Hlk150732670"/>
      <w:r w:rsidR="00DD126F" w:rsidRPr="00CF2DB8">
        <w:t>—</w:t>
      </w:r>
      <w:bookmarkEnd w:id="70"/>
    </w:p>
    <w:p w14:paraId="7B140E83" w14:textId="7F383E90" w:rsidR="00F00501" w:rsidRDefault="00914B80" w:rsidP="00DD126F">
      <w:pPr>
        <w:tabs>
          <w:tab w:val="left" w:pos="567"/>
        </w:tabs>
        <w:ind w:left="567" w:firstLine="0"/>
        <w:rPr>
          <w:rFonts w:eastAsia="Calibri"/>
        </w:rPr>
      </w:pPr>
      <w:r>
        <w:rPr>
          <w:rFonts w:eastAsia="Calibri"/>
        </w:rPr>
        <w:t>(a)</w:t>
      </w:r>
      <w:r>
        <w:rPr>
          <w:rFonts w:eastAsia="Calibri"/>
        </w:rPr>
        <w:tab/>
      </w:r>
      <w:r w:rsidR="00DD126F">
        <w:rPr>
          <w:rFonts w:eastAsia="Calibri"/>
        </w:rPr>
        <w:t xml:space="preserve">by </w:t>
      </w:r>
      <w:r w:rsidR="00505F3B">
        <w:rPr>
          <w:rFonts w:eastAsia="Calibri"/>
        </w:rPr>
        <w:t>repealing su</w:t>
      </w:r>
      <w:r w:rsidR="00E86811">
        <w:rPr>
          <w:rFonts w:eastAsia="Calibri"/>
        </w:rPr>
        <w:t>bs</w:t>
      </w:r>
      <w:r w:rsidR="00505F3B">
        <w:rPr>
          <w:rFonts w:eastAsia="Calibri"/>
        </w:rPr>
        <w:t>ection (1) and replacing it with the following subsection</w:t>
      </w:r>
      <w:r w:rsidR="00464218" w:rsidRPr="00CF2DB8">
        <w:t>—</w:t>
      </w:r>
    </w:p>
    <w:p w14:paraId="0ACA374F" w14:textId="41B48696" w:rsidR="00505F3B" w:rsidRDefault="00914B80" w:rsidP="003F62B0">
      <w:pPr>
        <w:ind w:left="1701" w:hanging="567"/>
        <w:rPr>
          <w:rFonts w:eastAsia="Calibri"/>
        </w:rPr>
      </w:pPr>
      <w:r>
        <w:t>“(1)</w:t>
      </w:r>
      <w:r>
        <w:tab/>
      </w:r>
      <w:r w:rsidR="00110EAA">
        <w:t xml:space="preserve">No person shall act as a CIS manager for a collective investment scheme or hold himself out to act as a CIS manager for a collective investment scheme unless the person holds and is complying with the conditions of a CIS manager licence or </w:t>
      </w:r>
      <w:r w:rsidR="00563F22">
        <w:t xml:space="preserve">subject to subsection (3), </w:t>
      </w:r>
      <w:r w:rsidR="00110EAA">
        <w:t xml:space="preserve">is registered with the Commission in accordance with FSC Rules </w:t>
      </w:r>
      <w:r w:rsidR="003F62B0">
        <w:t xml:space="preserve">made </w:t>
      </w:r>
      <w:r w:rsidR="00110EAA">
        <w:t xml:space="preserve">under </w:t>
      </w:r>
      <w:r w:rsidR="003F62B0">
        <w:t xml:space="preserve">subsection </w:t>
      </w:r>
      <w:r w:rsidR="00110EAA">
        <w:t>(3).</w:t>
      </w:r>
      <w:r>
        <w:t>”;</w:t>
      </w:r>
    </w:p>
    <w:p w14:paraId="7CFB0E23" w14:textId="1EC987F0" w:rsidR="00DD126F" w:rsidRDefault="00DD126F" w:rsidP="00DD126F">
      <w:pPr>
        <w:tabs>
          <w:tab w:val="left" w:pos="567"/>
        </w:tabs>
        <w:ind w:left="567" w:firstLine="0"/>
        <w:rPr>
          <w:rFonts w:eastAsia="Calibri"/>
        </w:rPr>
      </w:pPr>
      <w:r>
        <w:rPr>
          <w:rFonts w:eastAsia="Calibri"/>
        </w:rPr>
        <w:t xml:space="preserve">by inserting after subsection (2), the following </w:t>
      </w:r>
      <w:r w:rsidR="00926AAD">
        <w:rPr>
          <w:rFonts w:eastAsia="Calibri"/>
        </w:rPr>
        <w:t>subsection</w:t>
      </w:r>
      <w:r w:rsidR="00E86811" w:rsidRPr="00CF2DB8">
        <w:t>—</w:t>
      </w:r>
    </w:p>
    <w:p w14:paraId="6DA6701B" w14:textId="447FB284" w:rsidR="00836E25" w:rsidRDefault="00F7585C" w:rsidP="003F62B0">
      <w:pPr>
        <w:tabs>
          <w:tab w:val="left" w:pos="1134"/>
        </w:tabs>
        <w:ind w:left="1134" w:hanging="567"/>
      </w:pPr>
      <w:r>
        <w:rPr>
          <w:rFonts w:eastAsia="Calibri"/>
        </w:rPr>
        <w:t>“</w:t>
      </w:r>
      <w:r w:rsidR="00926AAD">
        <w:rPr>
          <w:rFonts w:eastAsia="Calibri"/>
        </w:rPr>
        <w:t>(3)</w:t>
      </w:r>
      <w:r w:rsidR="00926AAD">
        <w:rPr>
          <w:rFonts w:eastAsia="Calibri"/>
        </w:rPr>
        <w:tab/>
      </w:r>
      <w:r w:rsidR="00914B80">
        <w:rPr>
          <w:rFonts w:eastAsia="Calibri"/>
        </w:rPr>
        <w:t xml:space="preserve">The Commission </w:t>
      </w:r>
      <w:r w:rsidR="00B40B63">
        <w:rPr>
          <w:rFonts w:eastAsia="Calibri"/>
        </w:rPr>
        <w:t xml:space="preserve">may make </w:t>
      </w:r>
      <w:r w:rsidR="00836E25" w:rsidRPr="00836E25">
        <w:t xml:space="preserve">FSC Rules </w:t>
      </w:r>
      <w:r w:rsidR="00B40B63">
        <w:t>to</w:t>
      </w:r>
      <w:r w:rsidR="00836E25" w:rsidRPr="00836E25">
        <w:t xml:space="preserve"> provide for exemptions from the requirement for a licence under subsection (1) and registration of CIS managers who are exempt fr</w:t>
      </w:r>
      <w:r w:rsidR="00B40B63">
        <w:t>o</w:t>
      </w:r>
      <w:r w:rsidR="00836E25" w:rsidRPr="00836E25">
        <w:t>m the requirement to obtain a licence.</w:t>
      </w:r>
      <w:r>
        <w:t>”.</w:t>
      </w:r>
    </w:p>
    <w:p w14:paraId="45F6DD8C" w14:textId="556BFEA4" w:rsidR="0038132C" w:rsidRPr="00E20154" w:rsidRDefault="0038132C" w:rsidP="0038132C">
      <w:pPr>
        <w:pStyle w:val="iLAWS300Article"/>
        <w:ind w:left="0" w:firstLine="0"/>
        <w:rPr>
          <w:rFonts w:ascii="Arial" w:eastAsia="Calibri" w:hAnsi="Arial" w:cs="Arial"/>
        </w:rPr>
      </w:pPr>
      <w:bookmarkStart w:id="71" w:name="_Toc151283296"/>
      <w:bookmarkStart w:id="72" w:name="_Hlk151282469"/>
      <w:r w:rsidRPr="00CE6C08">
        <w:rPr>
          <w:rFonts w:ascii="Arial" w:eastAsia="Arial" w:hAnsi="Arial" w:cs="Arial"/>
          <w:color w:val="000000" w:themeColor="text1"/>
        </w:rPr>
        <w:t>2</w:t>
      </w:r>
      <w:r w:rsidR="0066709D" w:rsidRPr="00CE6C08">
        <w:rPr>
          <w:rFonts w:ascii="Arial" w:eastAsia="Arial" w:hAnsi="Arial" w:cs="Arial"/>
          <w:color w:val="000000" w:themeColor="text1"/>
        </w:rPr>
        <w:t>9</w:t>
      </w:r>
      <w:r w:rsidRPr="00CE6C08">
        <w:rPr>
          <w:rFonts w:ascii="Arial" w:eastAsia="Arial" w:hAnsi="Arial" w:cs="Arial"/>
          <w:color w:val="000000" w:themeColor="text1"/>
        </w:rPr>
        <w:tab/>
        <w:t>S</w:t>
      </w:r>
      <w:r w:rsidRPr="00E20154">
        <w:rPr>
          <w:rFonts w:ascii="Arial" w:eastAsia="Arial" w:hAnsi="Arial" w:cs="Arial"/>
        </w:rPr>
        <w:t xml:space="preserve">ection </w:t>
      </w:r>
      <w:r>
        <w:rPr>
          <w:rFonts w:ascii="Arial" w:eastAsia="Arial" w:hAnsi="Arial" w:cs="Arial"/>
        </w:rPr>
        <w:t>10</w:t>
      </w:r>
      <w:r w:rsidR="00D40C20">
        <w:rPr>
          <w:rFonts w:ascii="Arial" w:eastAsia="Arial" w:hAnsi="Arial" w:cs="Arial"/>
        </w:rPr>
        <w:t>0</w:t>
      </w:r>
      <w:r>
        <w:rPr>
          <w:rFonts w:ascii="Arial" w:eastAsia="Arial" w:hAnsi="Arial" w:cs="Arial"/>
        </w:rPr>
        <w:t xml:space="preserve"> </w:t>
      </w:r>
      <w:r w:rsidRPr="00E20154">
        <w:rPr>
          <w:rFonts w:ascii="Arial" w:eastAsia="Arial" w:hAnsi="Arial" w:cs="Arial"/>
        </w:rPr>
        <w:t xml:space="preserve">of the principal Act </w:t>
      </w:r>
      <w:r w:rsidR="00D40C20">
        <w:rPr>
          <w:rFonts w:ascii="Arial" w:eastAsia="Arial" w:hAnsi="Arial" w:cs="Arial"/>
        </w:rPr>
        <w:t>amended</w:t>
      </w:r>
      <w:bookmarkEnd w:id="71"/>
    </w:p>
    <w:bookmarkEnd w:id="72"/>
    <w:p w14:paraId="2EBC5799" w14:textId="77777777" w:rsidR="000D5989" w:rsidRDefault="0038132C" w:rsidP="000D5989">
      <w:pPr>
        <w:pStyle w:val="iLAWS301Paragraphunnumbered"/>
      </w:pPr>
      <w:r>
        <w:rPr>
          <w:rFonts w:eastAsia="Calibri"/>
        </w:rPr>
        <w:t xml:space="preserve">Section 100 of the principal Act is amended in subsection (1)(a) </w:t>
      </w:r>
      <w:r w:rsidR="00FB39F0">
        <w:rPr>
          <w:rFonts w:eastAsia="Calibri"/>
        </w:rPr>
        <w:t xml:space="preserve">by </w:t>
      </w:r>
      <w:r>
        <w:rPr>
          <w:rFonts w:eastAsia="Calibri"/>
        </w:rPr>
        <w:t>inserting after the words “</w:t>
      </w:r>
      <w:r w:rsidR="000A75DB">
        <w:rPr>
          <w:rFonts w:eastAsia="Calibri"/>
        </w:rPr>
        <w:t xml:space="preserve">subsidiary of a bank” the words “, </w:t>
      </w:r>
      <w:r w:rsidR="00476118" w:rsidRPr="00476118">
        <w:t xml:space="preserve">or a Central Depository, Clearing and Settlement Service as defined by </w:t>
      </w:r>
      <w:r w:rsidR="00240C30">
        <w:t>t</w:t>
      </w:r>
      <w:r w:rsidR="00476118" w:rsidRPr="00476118">
        <w:t xml:space="preserve">he Securities (Central Depository, Clearing </w:t>
      </w:r>
      <w:r w:rsidR="0023596A">
        <w:t>a</w:t>
      </w:r>
      <w:r w:rsidR="00476118" w:rsidRPr="00476118">
        <w:t>nd Settlement) Act 1996</w:t>
      </w:r>
      <w:r w:rsidR="00137F14">
        <w:t>”.</w:t>
      </w:r>
      <w:bookmarkStart w:id="73" w:name="_Hlk150295702"/>
    </w:p>
    <w:p w14:paraId="34E5CAA9" w14:textId="77777777" w:rsidR="00CE6C08" w:rsidRDefault="00CE6C08" w:rsidP="00CE6C08">
      <w:pPr>
        <w:spacing w:after="120"/>
        <w:ind w:left="1000" w:right="819" w:firstLine="0"/>
      </w:pPr>
    </w:p>
    <w:p w14:paraId="1A9779D8" w14:textId="01EE3EA9" w:rsidR="00CE6C08" w:rsidRPr="00E20154" w:rsidRDefault="00CE6C08" w:rsidP="00CE6C08">
      <w:pPr>
        <w:pStyle w:val="iLAWS300Article"/>
        <w:ind w:left="0" w:firstLine="0"/>
        <w:rPr>
          <w:rFonts w:ascii="Arial" w:eastAsia="Calibri" w:hAnsi="Arial" w:cs="Arial"/>
        </w:rPr>
      </w:pPr>
      <w:bookmarkStart w:id="74" w:name="_Toc151283297"/>
      <w:r w:rsidRPr="00CE6C08">
        <w:rPr>
          <w:rFonts w:ascii="Arial" w:eastAsia="Arial" w:hAnsi="Arial" w:cs="Arial"/>
          <w:color w:val="000000" w:themeColor="text1"/>
        </w:rPr>
        <w:t>30</w:t>
      </w:r>
      <w:r w:rsidRPr="00CE6C08">
        <w:rPr>
          <w:rFonts w:ascii="Arial" w:eastAsia="Arial" w:hAnsi="Arial" w:cs="Arial"/>
          <w:color w:val="000000" w:themeColor="text1"/>
        </w:rPr>
        <w:tab/>
      </w:r>
      <w:r w:rsidRPr="00E20154">
        <w:rPr>
          <w:rFonts w:ascii="Arial" w:eastAsia="Arial" w:hAnsi="Arial" w:cs="Arial"/>
        </w:rPr>
        <w:t xml:space="preserve">Section </w:t>
      </w:r>
      <w:r>
        <w:rPr>
          <w:rFonts w:ascii="Arial" w:eastAsia="Arial" w:hAnsi="Arial" w:cs="Arial"/>
        </w:rPr>
        <w:t>10</w:t>
      </w:r>
      <w:r w:rsidR="007A7482">
        <w:rPr>
          <w:rFonts w:ascii="Arial" w:eastAsia="Arial" w:hAnsi="Arial" w:cs="Arial"/>
        </w:rPr>
        <w:t>5</w:t>
      </w:r>
      <w:r>
        <w:rPr>
          <w:rFonts w:ascii="Arial" w:eastAsia="Arial" w:hAnsi="Arial" w:cs="Arial"/>
        </w:rPr>
        <w:t xml:space="preserve"> </w:t>
      </w:r>
      <w:r w:rsidRPr="00E20154">
        <w:rPr>
          <w:rFonts w:ascii="Arial" w:eastAsia="Arial" w:hAnsi="Arial" w:cs="Arial"/>
        </w:rPr>
        <w:t xml:space="preserve">of the principal Act </w:t>
      </w:r>
      <w:r>
        <w:rPr>
          <w:rFonts w:ascii="Arial" w:eastAsia="Arial" w:hAnsi="Arial" w:cs="Arial"/>
        </w:rPr>
        <w:t>amended</w:t>
      </w:r>
      <w:bookmarkEnd w:id="74"/>
    </w:p>
    <w:p w14:paraId="3B112A5D" w14:textId="79963CDA" w:rsidR="00CE6C08" w:rsidRDefault="00CE6C08" w:rsidP="00CE6C08">
      <w:pPr>
        <w:pStyle w:val="iLAWS310Paragraph"/>
      </w:pPr>
      <w:r>
        <w:t xml:space="preserve">Section 105 of the principal Act is amended </w:t>
      </w:r>
      <w:r w:rsidR="007A7482">
        <w:t>by inserting after subsection (1) the following subsection</w:t>
      </w:r>
      <w:r w:rsidR="007A7482" w:rsidRPr="00CF2DB8">
        <w:t>—</w:t>
      </w:r>
    </w:p>
    <w:p w14:paraId="3A164240" w14:textId="552A0DC3" w:rsidR="00CE6C08" w:rsidRPr="00CE6C08" w:rsidRDefault="007A7482" w:rsidP="007A7482">
      <w:pPr>
        <w:pStyle w:val="iLAWS310Paragraph"/>
      </w:pPr>
      <w:r>
        <w:t>“</w:t>
      </w:r>
      <w:r w:rsidR="00CE6C08" w:rsidRPr="00CE6C08">
        <w:t>(1A)</w:t>
      </w:r>
      <w:r w:rsidR="00CE6C08" w:rsidRPr="00CE6C08">
        <w:tab/>
        <w:t>A CIS manager shall in delegating their duties and powers, ensure that they carryout due diligence on, and monitor their delegates to ensure performance of the delegation</w:t>
      </w:r>
      <w:r>
        <w:t>.”.</w:t>
      </w:r>
    </w:p>
    <w:p w14:paraId="2ED466B8" w14:textId="03D65303" w:rsidR="009407C1" w:rsidRPr="00E20154" w:rsidRDefault="0066709D" w:rsidP="000F1534">
      <w:pPr>
        <w:pStyle w:val="iLAWS300Article"/>
        <w:ind w:left="0" w:firstLine="0"/>
        <w:rPr>
          <w:rFonts w:ascii="Arial" w:eastAsia="Calibri" w:hAnsi="Arial" w:cs="Arial"/>
        </w:rPr>
      </w:pPr>
      <w:bookmarkStart w:id="75" w:name="_Toc151283298"/>
      <w:r>
        <w:rPr>
          <w:rFonts w:ascii="Arial" w:eastAsia="Arial" w:hAnsi="Arial" w:cs="Arial"/>
        </w:rPr>
        <w:t>3</w:t>
      </w:r>
      <w:r w:rsidR="007A7482">
        <w:rPr>
          <w:rFonts w:ascii="Arial" w:eastAsia="Arial" w:hAnsi="Arial" w:cs="Arial"/>
        </w:rPr>
        <w:t>1</w:t>
      </w:r>
      <w:r w:rsidR="009407C1" w:rsidRPr="00E20154">
        <w:rPr>
          <w:rFonts w:ascii="Arial" w:eastAsia="Arial" w:hAnsi="Arial" w:cs="Arial"/>
        </w:rPr>
        <w:tab/>
        <w:t xml:space="preserve">Section </w:t>
      </w:r>
      <w:r w:rsidR="009407C1">
        <w:rPr>
          <w:rFonts w:ascii="Arial" w:eastAsia="Arial" w:hAnsi="Arial" w:cs="Arial"/>
        </w:rPr>
        <w:t>106</w:t>
      </w:r>
      <w:r w:rsidR="003B452A">
        <w:rPr>
          <w:rFonts w:ascii="Arial" w:eastAsia="Arial" w:hAnsi="Arial" w:cs="Arial"/>
        </w:rPr>
        <w:t>A</w:t>
      </w:r>
      <w:r w:rsidR="009407C1">
        <w:rPr>
          <w:rFonts w:ascii="Arial" w:eastAsia="Arial" w:hAnsi="Arial" w:cs="Arial"/>
        </w:rPr>
        <w:t xml:space="preserve"> </w:t>
      </w:r>
      <w:r w:rsidR="009407C1" w:rsidRPr="00E20154">
        <w:rPr>
          <w:rFonts w:ascii="Arial" w:eastAsia="Arial" w:hAnsi="Arial" w:cs="Arial"/>
        </w:rPr>
        <w:t>of the principal Act inserted</w:t>
      </w:r>
      <w:bookmarkEnd w:id="75"/>
    </w:p>
    <w:p w14:paraId="25755AD7" w14:textId="5D9FAED7" w:rsidR="009407C1" w:rsidRDefault="009407C1" w:rsidP="009407C1">
      <w:pPr>
        <w:tabs>
          <w:tab w:val="left" w:pos="567"/>
        </w:tabs>
        <w:ind w:left="0" w:firstLine="567"/>
        <w:rPr>
          <w:rFonts w:eastAsia="Calibri"/>
        </w:rPr>
      </w:pPr>
      <w:r>
        <w:rPr>
          <w:rFonts w:eastAsia="Calibri"/>
        </w:rPr>
        <w:t xml:space="preserve">The principal Act is amended by inserting after section 105 the following </w:t>
      </w:r>
      <w:r w:rsidR="0058531A">
        <w:rPr>
          <w:rFonts w:eastAsia="Calibri"/>
        </w:rPr>
        <w:t xml:space="preserve">new </w:t>
      </w:r>
      <w:r>
        <w:rPr>
          <w:rFonts w:eastAsia="Calibri"/>
        </w:rPr>
        <w:t>section</w:t>
      </w:r>
      <w:bookmarkStart w:id="76" w:name="_Hlk151282917"/>
      <w:r w:rsidRPr="00CF2DB8">
        <w:t>—</w:t>
      </w:r>
      <w:bookmarkEnd w:id="76"/>
    </w:p>
    <w:bookmarkEnd w:id="73"/>
    <w:p w14:paraId="222AB436" w14:textId="08BEE2E1" w:rsidR="009407C1" w:rsidRPr="00E16272" w:rsidRDefault="009407C1" w:rsidP="009407C1">
      <w:pPr>
        <w:ind w:left="1134" w:hanging="567"/>
        <w:rPr>
          <w:rFonts w:ascii="Arial" w:eastAsia="Calibri" w:hAnsi="Arial" w:cs="Arial"/>
          <w:b/>
          <w:bCs/>
        </w:rPr>
      </w:pPr>
      <w:r w:rsidRPr="00E20154">
        <w:rPr>
          <w:rFonts w:ascii="Arial" w:eastAsia="Calibri" w:hAnsi="Arial" w:cs="Arial"/>
        </w:rPr>
        <w:t>“</w:t>
      </w:r>
      <w:r w:rsidRPr="00F53414">
        <w:rPr>
          <w:rFonts w:ascii="Arial" w:eastAsia="Calibri" w:hAnsi="Arial" w:cs="Arial"/>
          <w:b/>
          <w:bCs/>
        </w:rPr>
        <w:t>106</w:t>
      </w:r>
      <w:r w:rsidR="003B452A">
        <w:rPr>
          <w:rFonts w:ascii="Arial" w:eastAsia="Calibri" w:hAnsi="Arial" w:cs="Arial"/>
          <w:b/>
          <w:bCs/>
        </w:rPr>
        <w:t>A</w:t>
      </w:r>
      <w:r w:rsidRPr="00F53414">
        <w:rPr>
          <w:rFonts w:ascii="Arial" w:eastAsia="Calibri" w:hAnsi="Arial" w:cs="Arial"/>
          <w:b/>
          <w:bCs/>
        </w:rPr>
        <w:tab/>
      </w:r>
      <w:r w:rsidRPr="00E16272">
        <w:rPr>
          <w:rFonts w:ascii="Arial" w:eastAsia="Calibri" w:hAnsi="Arial" w:cs="Arial"/>
          <w:b/>
          <w:bCs/>
        </w:rPr>
        <w:t>Disclosure</w:t>
      </w:r>
    </w:p>
    <w:p w14:paraId="146D717C" w14:textId="5381D41C" w:rsidR="002F1407" w:rsidRPr="00CF2142" w:rsidRDefault="002F1407" w:rsidP="009407C1">
      <w:pPr>
        <w:numPr>
          <w:ilvl w:val="0"/>
          <w:numId w:val="17"/>
        </w:numPr>
        <w:spacing w:after="120"/>
        <w:ind w:right="819" w:hanging="360"/>
      </w:pPr>
      <w:r>
        <w:t>A</w:t>
      </w:r>
      <w:r w:rsidR="000614AC">
        <w:t xml:space="preserve"> CIS Manager shall </w:t>
      </w:r>
      <w:r w:rsidR="006B542B">
        <w:t xml:space="preserve">in accordance with the FSC Rules </w:t>
      </w:r>
      <w:r w:rsidR="000614AC">
        <w:t>provide investors</w:t>
      </w:r>
      <w:r w:rsidR="00C62D20">
        <w:t xml:space="preserve"> with </w:t>
      </w:r>
      <w:r w:rsidR="006B542B">
        <w:t>information relating to a collective investment scheme, incl</w:t>
      </w:r>
      <w:r w:rsidR="001718EA">
        <w:t>u</w:t>
      </w:r>
      <w:r w:rsidR="006B542B">
        <w:t xml:space="preserve">ding information </w:t>
      </w:r>
      <w:r w:rsidR="001718EA">
        <w:t>relating to the risks arising fr</w:t>
      </w:r>
      <w:r w:rsidR="000A2739">
        <w:t>o</w:t>
      </w:r>
      <w:r w:rsidR="001718EA">
        <w:t>m the specific form of the collective investment scheme.</w:t>
      </w:r>
    </w:p>
    <w:p w14:paraId="506DB0BB" w14:textId="7E74D2A5" w:rsidR="000A0E0D" w:rsidRPr="00F740E5" w:rsidRDefault="009407C1" w:rsidP="008071E8">
      <w:pPr>
        <w:numPr>
          <w:ilvl w:val="0"/>
          <w:numId w:val="17"/>
        </w:numPr>
        <w:spacing w:after="120"/>
        <w:ind w:left="1701" w:right="819" w:hanging="515"/>
      </w:pPr>
      <w:r w:rsidRPr="000A0E0D">
        <w:rPr>
          <w:rFonts w:eastAsia="Calibri"/>
        </w:rPr>
        <w:t xml:space="preserve">A CIS manager shall provide to investors in the collective investment scheme notice </w:t>
      </w:r>
      <w:r w:rsidR="000A2739">
        <w:rPr>
          <w:rFonts w:eastAsia="Calibri"/>
        </w:rPr>
        <w:t xml:space="preserve">of </w:t>
      </w:r>
      <w:r w:rsidRPr="000A0E0D">
        <w:rPr>
          <w:rFonts w:eastAsia="Calibri"/>
        </w:rPr>
        <w:t xml:space="preserve">a </w:t>
      </w:r>
      <w:r w:rsidRPr="000F1534">
        <w:rPr>
          <w:rFonts w:eastAsia="Calibri"/>
        </w:rPr>
        <w:t>material change to investor rights</w:t>
      </w:r>
      <w:r w:rsidRPr="00F740E5">
        <w:rPr>
          <w:rFonts w:eastAsia="Calibri"/>
        </w:rPr>
        <w:t xml:space="preserve"> where prior approval of the change by the Commission is not required.</w:t>
      </w:r>
    </w:p>
    <w:p w14:paraId="142E1863" w14:textId="5CC27EDF" w:rsidR="000456FE" w:rsidRPr="008071E8" w:rsidRDefault="009407C1" w:rsidP="008071E8">
      <w:pPr>
        <w:spacing w:after="120"/>
        <w:ind w:left="1701" w:right="819" w:hanging="515"/>
        <w:rPr>
          <w:rFonts w:eastAsia="MS Mincho"/>
          <w:color w:val="auto"/>
          <w:lang w:eastAsia="en-US"/>
        </w:rPr>
      </w:pPr>
      <w:r w:rsidRPr="00F740E5">
        <w:t>(</w:t>
      </w:r>
      <w:r w:rsidR="001718EA" w:rsidRPr="00F740E5">
        <w:t>3</w:t>
      </w:r>
      <w:r w:rsidRPr="00F740E5">
        <w:t>)</w:t>
      </w:r>
      <w:r w:rsidRPr="00F740E5">
        <w:tab/>
        <w:t>The notice under subsection (</w:t>
      </w:r>
      <w:r w:rsidR="001718EA" w:rsidRPr="00F740E5">
        <w:t>2</w:t>
      </w:r>
      <w:r w:rsidRPr="00F740E5">
        <w:t xml:space="preserve">) shall not be given more than </w:t>
      </w:r>
      <w:r w:rsidRPr="000F1534">
        <w:rPr>
          <w:color w:val="FF0000"/>
        </w:rPr>
        <w:t>10</w:t>
      </w:r>
      <w:r w:rsidRPr="00F740E5">
        <w:t xml:space="preserve"> days after the change</w:t>
      </w:r>
      <w:r w:rsidR="00CF2142" w:rsidRPr="00F740E5">
        <w:t>.”.</w:t>
      </w:r>
    </w:p>
    <w:p w14:paraId="3E40699C" w14:textId="0EE1DC6D" w:rsidR="00C257B1" w:rsidRPr="00E20154" w:rsidRDefault="0066709D" w:rsidP="00E20154">
      <w:pPr>
        <w:pStyle w:val="iLAWS300Article"/>
        <w:rPr>
          <w:rStyle w:val="iLAWS914ArticleNumber"/>
          <w:rFonts w:ascii="Arial" w:hAnsi="Arial" w:cs="Arial"/>
        </w:rPr>
      </w:pPr>
      <w:bookmarkStart w:id="77" w:name="_Toc151283299"/>
      <w:bookmarkStart w:id="78" w:name="_Hlk138636535"/>
      <w:r>
        <w:rPr>
          <w:rStyle w:val="iLAWS914ArticleNumber"/>
          <w:rFonts w:ascii="Arial" w:eastAsia="Calibri" w:hAnsi="Arial" w:cs="Arial"/>
        </w:rPr>
        <w:t>3</w:t>
      </w:r>
      <w:r w:rsidR="007A7482">
        <w:rPr>
          <w:rStyle w:val="iLAWS914ArticleNumber"/>
          <w:rFonts w:ascii="Arial" w:eastAsia="Calibri" w:hAnsi="Arial" w:cs="Arial"/>
        </w:rPr>
        <w:t>2</w:t>
      </w:r>
      <w:r w:rsidR="00C257B1" w:rsidRPr="00E20154">
        <w:rPr>
          <w:rStyle w:val="iLAWS914ArticleNumber"/>
          <w:rFonts w:ascii="Arial" w:eastAsia="Arial" w:hAnsi="Arial" w:cs="Arial"/>
        </w:rPr>
        <w:tab/>
        <w:t>Section 111 of the principal Act amended</w:t>
      </w:r>
      <w:bookmarkEnd w:id="77"/>
    </w:p>
    <w:bookmarkEnd w:id="67"/>
    <w:bookmarkEnd w:id="78"/>
    <w:p w14:paraId="43283605" w14:textId="49555692" w:rsidR="00771FCB" w:rsidRDefault="0094151C" w:rsidP="00E20154">
      <w:pPr>
        <w:spacing w:before="240" w:after="0" w:line="247" w:lineRule="auto"/>
        <w:ind w:left="720" w:right="1168" w:firstLine="0"/>
        <w:rPr>
          <w:rFonts w:eastAsia="Calibri"/>
        </w:rPr>
      </w:pPr>
      <w:r>
        <w:rPr>
          <w:rFonts w:eastAsia="Calibri"/>
        </w:rPr>
        <w:t xml:space="preserve">Section </w:t>
      </w:r>
      <w:r w:rsidR="00634CFB">
        <w:rPr>
          <w:rFonts w:eastAsia="Calibri"/>
        </w:rPr>
        <w:t>111of the principal Act is amended</w:t>
      </w:r>
      <w:r w:rsidR="00771FCB" w:rsidRPr="001702F7">
        <w:t>—</w:t>
      </w:r>
    </w:p>
    <w:p w14:paraId="12D87AFD" w14:textId="69E7047D" w:rsidR="00854541" w:rsidRDefault="00771FCB" w:rsidP="00771FCB">
      <w:pPr>
        <w:pStyle w:val="ListParagraph"/>
        <w:numPr>
          <w:ilvl w:val="0"/>
          <w:numId w:val="13"/>
        </w:numPr>
        <w:spacing w:before="240" w:after="0" w:line="247" w:lineRule="auto"/>
        <w:ind w:right="1168"/>
        <w:rPr>
          <w:rFonts w:eastAsia="Calibri"/>
        </w:rPr>
      </w:pPr>
      <w:r w:rsidRPr="00771FCB">
        <w:rPr>
          <w:rFonts w:eastAsia="Calibri"/>
        </w:rPr>
        <w:t xml:space="preserve">in subsection (1) and (2), </w:t>
      </w:r>
      <w:r w:rsidR="00634CFB" w:rsidRPr="00771FCB">
        <w:rPr>
          <w:rFonts w:eastAsia="Calibri"/>
        </w:rPr>
        <w:t xml:space="preserve">by </w:t>
      </w:r>
      <w:r w:rsidR="00436EF1">
        <w:rPr>
          <w:rFonts w:eastAsia="Calibri"/>
        </w:rPr>
        <w:t>deleting</w:t>
      </w:r>
      <w:r w:rsidR="001E218B">
        <w:rPr>
          <w:rFonts w:eastAsia="Calibri"/>
        </w:rPr>
        <w:t xml:space="preserve"> the words “shall</w:t>
      </w:r>
      <w:r w:rsidR="00436EF1">
        <w:rPr>
          <w:rFonts w:eastAsia="Calibri"/>
        </w:rPr>
        <w:t>”</w:t>
      </w:r>
      <w:r w:rsidR="001E218B">
        <w:rPr>
          <w:rFonts w:eastAsia="Calibri"/>
        </w:rPr>
        <w:t xml:space="preserve"> </w:t>
      </w:r>
      <w:r w:rsidR="00436EF1">
        <w:rPr>
          <w:rFonts w:eastAsia="Calibri"/>
        </w:rPr>
        <w:t xml:space="preserve">and </w:t>
      </w:r>
      <w:r w:rsidR="000B3A3A">
        <w:rPr>
          <w:rFonts w:eastAsia="Calibri"/>
        </w:rPr>
        <w:t xml:space="preserve">replacing it by </w:t>
      </w:r>
      <w:r w:rsidR="00436EF1">
        <w:rPr>
          <w:rFonts w:eastAsia="Calibri"/>
        </w:rPr>
        <w:t xml:space="preserve">the words </w:t>
      </w:r>
      <w:r w:rsidR="00627DB8" w:rsidRPr="00771FCB">
        <w:rPr>
          <w:rFonts w:eastAsia="Calibri"/>
        </w:rPr>
        <w:t>“or listed company</w:t>
      </w:r>
      <w:r w:rsidR="00436EF1">
        <w:rPr>
          <w:rFonts w:eastAsia="Calibri"/>
        </w:rPr>
        <w:t xml:space="preserve"> shall</w:t>
      </w:r>
      <w:r w:rsidR="00056CD8">
        <w:rPr>
          <w:rFonts w:eastAsia="Calibri"/>
        </w:rPr>
        <w:t>,</w:t>
      </w:r>
      <w:r w:rsidR="00436EF1">
        <w:rPr>
          <w:rFonts w:eastAsia="Calibri"/>
        </w:rPr>
        <w:t xml:space="preserve"> or </w:t>
      </w:r>
      <w:r w:rsidR="00645C64">
        <w:rPr>
          <w:rFonts w:eastAsia="Calibri"/>
        </w:rPr>
        <w:t xml:space="preserve">shall </w:t>
      </w:r>
      <w:r w:rsidR="00436EF1">
        <w:rPr>
          <w:rFonts w:eastAsia="Calibri"/>
        </w:rPr>
        <w:t>attempt to</w:t>
      </w:r>
      <w:r w:rsidR="00056CD8">
        <w:rPr>
          <w:rFonts w:eastAsia="Calibri"/>
        </w:rPr>
        <w:t>,</w:t>
      </w:r>
      <w:r w:rsidR="00627DB8" w:rsidRPr="00771FCB">
        <w:rPr>
          <w:rFonts w:eastAsia="Calibri"/>
        </w:rPr>
        <w:t>”</w:t>
      </w:r>
      <w:r w:rsidR="00854541" w:rsidRPr="00771FCB">
        <w:rPr>
          <w:rFonts w:eastAsia="Calibri"/>
        </w:rPr>
        <w:t>;</w:t>
      </w:r>
    </w:p>
    <w:p w14:paraId="3C8D2C9E" w14:textId="6980031C" w:rsidR="00F546E3" w:rsidRPr="00771FCB" w:rsidRDefault="00F546E3" w:rsidP="00771FCB">
      <w:pPr>
        <w:pStyle w:val="ListParagraph"/>
        <w:numPr>
          <w:ilvl w:val="0"/>
          <w:numId w:val="13"/>
        </w:numPr>
        <w:spacing w:before="240" w:after="0" w:line="247" w:lineRule="auto"/>
        <w:ind w:right="1168"/>
        <w:rPr>
          <w:rFonts w:eastAsia="Calibri"/>
        </w:rPr>
      </w:pPr>
      <w:r>
        <w:rPr>
          <w:rFonts w:eastAsia="Calibri"/>
        </w:rPr>
        <w:t xml:space="preserve">in subsection (2) by inserting after the </w:t>
      </w:r>
      <w:r w:rsidR="00FA5DC8">
        <w:rPr>
          <w:rFonts w:eastAsia="Calibri"/>
        </w:rPr>
        <w:t xml:space="preserve">words </w:t>
      </w:r>
      <w:r>
        <w:rPr>
          <w:rFonts w:eastAsia="Calibri"/>
        </w:rPr>
        <w:t xml:space="preserve">“reporting issuer” the words </w:t>
      </w:r>
      <w:r w:rsidR="00FA5DC8">
        <w:rPr>
          <w:rFonts w:eastAsia="Calibri"/>
        </w:rPr>
        <w:t>“or listed company”;</w:t>
      </w:r>
    </w:p>
    <w:p w14:paraId="48205997" w14:textId="50A82319" w:rsidR="00C257B1" w:rsidRPr="00771FCB" w:rsidRDefault="00854541" w:rsidP="00771FCB">
      <w:pPr>
        <w:pStyle w:val="ListParagraph"/>
        <w:numPr>
          <w:ilvl w:val="0"/>
          <w:numId w:val="13"/>
        </w:numPr>
        <w:spacing w:before="240" w:after="0" w:line="247" w:lineRule="auto"/>
        <w:ind w:right="1168"/>
        <w:rPr>
          <w:rFonts w:eastAsia="Calibri"/>
        </w:rPr>
      </w:pPr>
      <w:r w:rsidRPr="00771FCB">
        <w:rPr>
          <w:rFonts w:eastAsia="Calibri"/>
        </w:rPr>
        <w:t xml:space="preserve">in subsection (4), </w:t>
      </w:r>
      <w:r w:rsidR="0014230B" w:rsidRPr="00771FCB">
        <w:rPr>
          <w:rFonts w:eastAsia="Calibri"/>
        </w:rPr>
        <w:t>by del</w:t>
      </w:r>
      <w:r w:rsidR="00DC7EE9" w:rsidRPr="00771FCB">
        <w:rPr>
          <w:rFonts w:eastAsia="Calibri"/>
        </w:rPr>
        <w:t>e</w:t>
      </w:r>
      <w:r w:rsidR="0014230B" w:rsidRPr="00771FCB">
        <w:rPr>
          <w:rFonts w:eastAsia="Calibri"/>
        </w:rPr>
        <w:t xml:space="preserve">ting </w:t>
      </w:r>
      <w:r w:rsidR="00DC7EE9" w:rsidRPr="00771FCB">
        <w:rPr>
          <w:rFonts w:eastAsia="Calibri"/>
        </w:rPr>
        <w:t xml:space="preserve">the words </w:t>
      </w:r>
      <w:r w:rsidR="0014230B" w:rsidRPr="00771FCB">
        <w:rPr>
          <w:rFonts w:eastAsia="Calibri"/>
        </w:rPr>
        <w:t xml:space="preserve">“insider dealing” </w:t>
      </w:r>
      <w:r w:rsidR="00DC7EE9" w:rsidRPr="00771FCB">
        <w:rPr>
          <w:rFonts w:eastAsia="Calibri"/>
        </w:rPr>
        <w:t xml:space="preserve">and </w:t>
      </w:r>
      <w:r w:rsidR="00DF0D4C">
        <w:rPr>
          <w:rFonts w:eastAsia="Calibri"/>
        </w:rPr>
        <w:t>replacing them by</w:t>
      </w:r>
      <w:r w:rsidR="00DC7EE9" w:rsidRPr="00771FCB">
        <w:rPr>
          <w:rFonts w:eastAsia="Calibri"/>
        </w:rPr>
        <w:t xml:space="preserve"> words “under this section”.</w:t>
      </w:r>
    </w:p>
    <w:p w14:paraId="57F47EB3" w14:textId="5A03A56C" w:rsidR="00056CD8" w:rsidRDefault="00D40C20" w:rsidP="00E20154">
      <w:pPr>
        <w:pStyle w:val="iLAWS300Article"/>
        <w:rPr>
          <w:rStyle w:val="iLAWS914ArticleNumber"/>
          <w:rFonts w:ascii="Arial" w:eastAsia="Calibri" w:hAnsi="Arial" w:cs="Arial"/>
        </w:rPr>
      </w:pPr>
      <w:bookmarkStart w:id="79" w:name="_Toc151283300"/>
      <w:bookmarkStart w:id="80" w:name="_Toc136474874"/>
      <w:r>
        <w:rPr>
          <w:rStyle w:val="iLAWS914ArticleNumber"/>
          <w:rFonts w:ascii="Arial" w:eastAsia="Calibri" w:hAnsi="Arial" w:cs="Arial"/>
        </w:rPr>
        <w:t>3</w:t>
      </w:r>
      <w:r w:rsidR="007A7482">
        <w:rPr>
          <w:rStyle w:val="iLAWS914ArticleNumber"/>
          <w:rFonts w:ascii="Arial" w:eastAsia="Calibri" w:hAnsi="Arial" w:cs="Arial"/>
        </w:rPr>
        <w:t>3</w:t>
      </w:r>
      <w:r w:rsidR="00056CD8" w:rsidRPr="00056CD8">
        <w:rPr>
          <w:rStyle w:val="iLAWS914ArticleNumber"/>
          <w:rFonts w:ascii="Arial" w:eastAsia="Calibri" w:hAnsi="Arial" w:cs="Arial"/>
        </w:rPr>
        <w:tab/>
        <w:t>Section 11</w:t>
      </w:r>
      <w:r w:rsidR="006346AB">
        <w:rPr>
          <w:rStyle w:val="iLAWS914ArticleNumber"/>
          <w:rFonts w:ascii="Arial" w:eastAsia="Calibri" w:hAnsi="Arial" w:cs="Arial"/>
        </w:rPr>
        <w:t>3</w:t>
      </w:r>
      <w:r w:rsidR="00056CD8" w:rsidRPr="00056CD8">
        <w:rPr>
          <w:rStyle w:val="iLAWS914ArticleNumber"/>
          <w:rFonts w:ascii="Arial" w:eastAsia="Calibri" w:hAnsi="Arial" w:cs="Arial"/>
        </w:rPr>
        <w:t xml:space="preserve"> of the principal Act amended</w:t>
      </w:r>
      <w:bookmarkEnd w:id="79"/>
    </w:p>
    <w:p w14:paraId="6EE05EB9" w14:textId="479B431E" w:rsidR="00056CD8" w:rsidRDefault="00560221" w:rsidP="006751CE">
      <w:pPr>
        <w:pStyle w:val="iLAWS310Paragraph"/>
        <w:ind w:left="567" w:firstLine="0"/>
      </w:pPr>
      <w:r>
        <w:t xml:space="preserve">Section 113 of the principal Act is amended </w:t>
      </w:r>
      <w:r w:rsidR="00A02F89">
        <w:t xml:space="preserve">in subsection (1) by inserting after the word </w:t>
      </w:r>
      <w:r w:rsidR="006153B3">
        <w:t>“shall” the words “</w:t>
      </w:r>
      <w:r w:rsidR="00376C48">
        <w:t>,</w:t>
      </w:r>
      <w:r w:rsidR="006355BC">
        <w:t xml:space="preserve"> </w:t>
      </w:r>
      <w:r w:rsidR="006153B3">
        <w:t>or shall attempt to</w:t>
      </w:r>
      <w:r w:rsidR="00376C48">
        <w:t>,</w:t>
      </w:r>
      <w:r w:rsidR="006153B3">
        <w:t>”.</w:t>
      </w:r>
    </w:p>
    <w:p w14:paraId="03C1BFE5" w14:textId="3E5748CA" w:rsidR="006751CE" w:rsidRDefault="00724CA2" w:rsidP="006751CE">
      <w:pPr>
        <w:pStyle w:val="iLAWS300Article"/>
        <w:rPr>
          <w:rStyle w:val="iLAWS914ArticleNumber"/>
          <w:rFonts w:ascii="Arial" w:eastAsia="Calibri" w:hAnsi="Arial" w:cs="Arial"/>
        </w:rPr>
      </w:pPr>
      <w:bookmarkStart w:id="81" w:name="_Toc151283301"/>
      <w:r>
        <w:rPr>
          <w:rStyle w:val="iLAWS914ArticleNumber"/>
          <w:rFonts w:ascii="Arial" w:eastAsia="Calibri" w:hAnsi="Arial" w:cs="Arial"/>
        </w:rPr>
        <w:t>3</w:t>
      </w:r>
      <w:r w:rsidR="007A7482">
        <w:rPr>
          <w:rStyle w:val="iLAWS914ArticleNumber"/>
          <w:rFonts w:ascii="Arial" w:eastAsia="Calibri" w:hAnsi="Arial" w:cs="Arial"/>
        </w:rPr>
        <w:t>4</w:t>
      </w:r>
      <w:r w:rsidR="006751CE" w:rsidRPr="00056CD8">
        <w:rPr>
          <w:rStyle w:val="iLAWS914ArticleNumber"/>
          <w:rFonts w:ascii="Arial" w:eastAsia="Calibri" w:hAnsi="Arial" w:cs="Arial"/>
        </w:rPr>
        <w:tab/>
        <w:t>Section 11</w:t>
      </w:r>
      <w:r w:rsidR="006751CE">
        <w:rPr>
          <w:rStyle w:val="iLAWS914ArticleNumber"/>
          <w:rFonts w:ascii="Arial" w:eastAsia="Calibri" w:hAnsi="Arial" w:cs="Arial"/>
        </w:rPr>
        <w:t>4</w:t>
      </w:r>
      <w:r w:rsidR="006751CE" w:rsidRPr="00056CD8">
        <w:rPr>
          <w:rStyle w:val="iLAWS914ArticleNumber"/>
          <w:rFonts w:ascii="Arial" w:eastAsia="Calibri" w:hAnsi="Arial" w:cs="Arial"/>
        </w:rPr>
        <w:t xml:space="preserve"> of the principal Act amended</w:t>
      </w:r>
      <w:bookmarkEnd w:id="81"/>
    </w:p>
    <w:p w14:paraId="0D38E3F0" w14:textId="051E5D85" w:rsidR="006751CE" w:rsidRDefault="006751CE" w:rsidP="006751CE">
      <w:pPr>
        <w:pStyle w:val="iLAWS310Paragraph"/>
        <w:ind w:left="567" w:firstLine="0"/>
      </w:pPr>
      <w:r>
        <w:t xml:space="preserve">Section </w:t>
      </w:r>
      <w:r w:rsidR="00E2500F">
        <w:t>11</w:t>
      </w:r>
      <w:r>
        <w:t xml:space="preserve">4 of the principal Act is amended </w:t>
      </w:r>
      <w:r w:rsidR="003F5F9C">
        <w:t>in</w:t>
      </w:r>
      <w:r>
        <w:t xml:space="preserve"> subsection</w:t>
      </w:r>
      <w:r w:rsidR="003F5F9C">
        <w:t>s</w:t>
      </w:r>
      <w:r>
        <w:t xml:space="preserve"> (1)</w:t>
      </w:r>
      <w:r w:rsidR="003F5F9C">
        <w:t xml:space="preserve"> and (2)</w:t>
      </w:r>
      <w:r>
        <w:t xml:space="preserve"> by inserting after the word “shall” the words “</w:t>
      </w:r>
      <w:r w:rsidR="00376C48">
        <w:t xml:space="preserve">, </w:t>
      </w:r>
      <w:r>
        <w:t>or shall attempt to</w:t>
      </w:r>
      <w:r w:rsidR="00376C48">
        <w:t>,</w:t>
      </w:r>
      <w:r>
        <w:t>”</w:t>
      </w:r>
      <w:r w:rsidR="003F5F9C">
        <w:t>.</w:t>
      </w:r>
    </w:p>
    <w:p w14:paraId="3BCA2F8B" w14:textId="7876E4FE" w:rsidR="00E2500F" w:rsidRDefault="00724CA2" w:rsidP="00E2500F">
      <w:pPr>
        <w:pStyle w:val="iLAWS300Article"/>
        <w:rPr>
          <w:rStyle w:val="iLAWS914ArticleNumber"/>
          <w:rFonts w:ascii="Arial" w:eastAsia="Calibri" w:hAnsi="Arial" w:cs="Arial"/>
        </w:rPr>
      </w:pPr>
      <w:bookmarkStart w:id="82" w:name="_Toc151283302"/>
      <w:r>
        <w:rPr>
          <w:rStyle w:val="iLAWS914ArticleNumber"/>
          <w:rFonts w:ascii="Arial" w:eastAsia="Calibri" w:hAnsi="Arial" w:cs="Arial"/>
        </w:rPr>
        <w:t>3</w:t>
      </w:r>
      <w:r w:rsidR="007A7482">
        <w:rPr>
          <w:rStyle w:val="iLAWS914ArticleNumber"/>
          <w:rFonts w:ascii="Arial" w:eastAsia="Calibri" w:hAnsi="Arial" w:cs="Arial"/>
        </w:rPr>
        <w:t>5</w:t>
      </w:r>
      <w:r>
        <w:rPr>
          <w:rStyle w:val="iLAWS914ArticleNumber"/>
          <w:rFonts w:ascii="Arial" w:eastAsia="Calibri" w:hAnsi="Arial" w:cs="Arial"/>
        </w:rPr>
        <w:tab/>
      </w:r>
      <w:r w:rsidR="00E2500F" w:rsidRPr="00056CD8">
        <w:rPr>
          <w:rStyle w:val="iLAWS914ArticleNumber"/>
          <w:rFonts w:ascii="Arial" w:eastAsia="Calibri" w:hAnsi="Arial" w:cs="Arial"/>
        </w:rPr>
        <w:t>Section 11</w:t>
      </w:r>
      <w:r w:rsidR="00E2500F">
        <w:rPr>
          <w:rStyle w:val="iLAWS914ArticleNumber"/>
          <w:rFonts w:ascii="Arial" w:eastAsia="Calibri" w:hAnsi="Arial" w:cs="Arial"/>
        </w:rPr>
        <w:t>5</w:t>
      </w:r>
      <w:r w:rsidR="00E2500F" w:rsidRPr="00056CD8">
        <w:rPr>
          <w:rStyle w:val="iLAWS914ArticleNumber"/>
          <w:rFonts w:ascii="Arial" w:eastAsia="Calibri" w:hAnsi="Arial" w:cs="Arial"/>
        </w:rPr>
        <w:t xml:space="preserve"> of the principal Act amended</w:t>
      </w:r>
      <w:bookmarkEnd w:id="82"/>
    </w:p>
    <w:p w14:paraId="568EBAF7" w14:textId="170AA97B" w:rsidR="00E2500F" w:rsidRDefault="00E2500F" w:rsidP="00E2500F">
      <w:pPr>
        <w:pStyle w:val="iLAWS310Paragraph"/>
        <w:ind w:left="567" w:firstLine="0"/>
      </w:pPr>
      <w:r>
        <w:t>Section 115 of the principal Act is amended by inserting after the word “shall” the words “, or shall attempt to,”.</w:t>
      </w:r>
    </w:p>
    <w:p w14:paraId="19A2E1C7" w14:textId="065A6949" w:rsidR="00354A5E" w:rsidRDefault="002A6F50" w:rsidP="00354A5E">
      <w:pPr>
        <w:pStyle w:val="iLAWS300Article"/>
        <w:rPr>
          <w:rStyle w:val="iLAWS914ArticleNumber"/>
          <w:rFonts w:ascii="Arial" w:eastAsia="Calibri" w:hAnsi="Arial" w:cs="Arial"/>
        </w:rPr>
      </w:pPr>
      <w:bookmarkStart w:id="83" w:name="_Toc151283303"/>
      <w:r>
        <w:rPr>
          <w:rStyle w:val="iLAWS914ArticleNumber"/>
          <w:rFonts w:ascii="Arial" w:eastAsia="Calibri" w:hAnsi="Arial" w:cs="Arial"/>
        </w:rPr>
        <w:t>3</w:t>
      </w:r>
      <w:r w:rsidR="007A7482">
        <w:rPr>
          <w:rStyle w:val="iLAWS914ArticleNumber"/>
          <w:rFonts w:ascii="Arial" w:eastAsia="Calibri" w:hAnsi="Arial" w:cs="Arial"/>
        </w:rPr>
        <w:t>6</w:t>
      </w:r>
      <w:r w:rsidR="00354A5E" w:rsidRPr="00056CD8">
        <w:rPr>
          <w:rStyle w:val="iLAWS914ArticleNumber"/>
          <w:rFonts w:ascii="Arial" w:eastAsia="Calibri" w:hAnsi="Arial" w:cs="Arial"/>
        </w:rPr>
        <w:tab/>
        <w:t>Section 11</w:t>
      </w:r>
      <w:r w:rsidR="00354A5E">
        <w:rPr>
          <w:rStyle w:val="iLAWS914ArticleNumber"/>
          <w:rFonts w:ascii="Arial" w:eastAsia="Calibri" w:hAnsi="Arial" w:cs="Arial"/>
        </w:rPr>
        <w:t>6</w:t>
      </w:r>
      <w:r w:rsidR="00354A5E" w:rsidRPr="00056CD8">
        <w:rPr>
          <w:rStyle w:val="iLAWS914ArticleNumber"/>
          <w:rFonts w:ascii="Arial" w:eastAsia="Calibri" w:hAnsi="Arial" w:cs="Arial"/>
        </w:rPr>
        <w:t xml:space="preserve"> of the principal Act amended</w:t>
      </w:r>
      <w:bookmarkEnd w:id="83"/>
    </w:p>
    <w:p w14:paraId="25D610FD" w14:textId="67DF3635" w:rsidR="00CF5F76" w:rsidRDefault="00354A5E" w:rsidP="00354A5E">
      <w:pPr>
        <w:pStyle w:val="iLAWS310Paragraph"/>
        <w:ind w:left="567" w:firstLine="0"/>
      </w:pPr>
      <w:r>
        <w:t>Section 11</w:t>
      </w:r>
      <w:r w:rsidR="00964E54">
        <w:t>6</w:t>
      </w:r>
      <w:r>
        <w:t xml:space="preserve"> of the principal Act is amended in subsections (1)</w:t>
      </w:r>
      <w:r w:rsidR="00121812">
        <w:t xml:space="preserve"> and (2)</w:t>
      </w:r>
      <w:r>
        <w:t xml:space="preserve"> by inserting after the word “</w:t>
      </w:r>
      <w:r w:rsidR="00964E54">
        <w:t>engages</w:t>
      </w:r>
      <w:r>
        <w:t>” the words “, or attempt</w:t>
      </w:r>
      <w:r w:rsidR="00964E54">
        <w:t>s</w:t>
      </w:r>
      <w:r>
        <w:t xml:space="preserve"> to</w:t>
      </w:r>
      <w:r w:rsidR="00964E54">
        <w:t xml:space="preserve"> engage</w:t>
      </w:r>
      <w:r>
        <w:t>,”</w:t>
      </w:r>
      <w:r w:rsidR="00121812">
        <w:t>.</w:t>
      </w:r>
      <w:r w:rsidR="00CF5F76">
        <w:t xml:space="preserve"> </w:t>
      </w:r>
    </w:p>
    <w:p w14:paraId="65683768" w14:textId="73D56970" w:rsidR="00E4528B" w:rsidRPr="00EC2558" w:rsidRDefault="002A6F50" w:rsidP="00E20154">
      <w:pPr>
        <w:pStyle w:val="iLAWS300Article"/>
        <w:rPr>
          <w:rStyle w:val="iLAWS914ArticleNumber"/>
          <w:rFonts w:ascii="Arial" w:hAnsi="Arial" w:cs="Arial"/>
        </w:rPr>
      </w:pPr>
      <w:bookmarkStart w:id="84" w:name="_Toc151283304"/>
      <w:r>
        <w:rPr>
          <w:rStyle w:val="iLAWS914ArticleNumber"/>
          <w:rFonts w:ascii="Arial" w:eastAsia="Calibri" w:hAnsi="Arial" w:cs="Arial"/>
        </w:rPr>
        <w:t>3</w:t>
      </w:r>
      <w:r w:rsidR="007A7482">
        <w:rPr>
          <w:rStyle w:val="iLAWS914ArticleNumber"/>
          <w:rFonts w:ascii="Arial" w:eastAsia="Calibri" w:hAnsi="Arial" w:cs="Arial"/>
        </w:rPr>
        <w:t>7</w:t>
      </w:r>
      <w:r w:rsidR="00E4528B" w:rsidRPr="00EC2558">
        <w:rPr>
          <w:rStyle w:val="iLAWS914ArticleNumber"/>
          <w:rFonts w:ascii="Arial" w:eastAsia="Arial" w:hAnsi="Arial" w:cs="Arial"/>
        </w:rPr>
        <w:tab/>
        <w:t>Section 124 of the principal Act repealed and replaced</w:t>
      </w:r>
      <w:bookmarkEnd w:id="80"/>
      <w:bookmarkEnd w:id="84"/>
    </w:p>
    <w:p w14:paraId="38DBE079" w14:textId="5EA42D5D" w:rsidR="00A847D8" w:rsidRDefault="00012A4D" w:rsidP="00EC2558">
      <w:pPr>
        <w:spacing w:before="240" w:after="120" w:line="247" w:lineRule="auto"/>
        <w:ind w:left="567" w:right="816" w:firstLine="0"/>
      </w:pPr>
      <w:r>
        <w:t xml:space="preserve">Section 124 of the principal Act is repealed and replaced </w:t>
      </w:r>
      <w:r w:rsidR="00DB6E5A">
        <w:t>by</w:t>
      </w:r>
      <w:r w:rsidR="00A847D8">
        <w:t xml:space="preserve"> the following section</w:t>
      </w:r>
      <w:bookmarkStart w:id="85" w:name="_Hlk133980010"/>
      <w:r w:rsidR="001702F7" w:rsidRPr="001702F7">
        <w:t>—</w:t>
      </w:r>
    </w:p>
    <w:bookmarkEnd w:id="85"/>
    <w:p w14:paraId="6311E6D4" w14:textId="08DE85FA" w:rsidR="00A847D8" w:rsidRPr="008B0DE7" w:rsidRDefault="00A847D8" w:rsidP="006128F7">
      <w:pPr>
        <w:spacing w:before="120" w:after="120" w:line="240" w:lineRule="auto"/>
        <w:ind w:right="819" w:firstLine="712"/>
        <w:rPr>
          <w:rFonts w:ascii="Arial" w:hAnsi="Arial" w:cs="Arial"/>
          <w:b/>
        </w:rPr>
      </w:pPr>
      <w:r w:rsidRPr="006F0A89">
        <w:t>“</w:t>
      </w:r>
      <w:r w:rsidRPr="008B0DE7">
        <w:rPr>
          <w:rFonts w:ascii="Arial" w:hAnsi="Arial" w:cs="Arial"/>
          <w:b/>
        </w:rPr>
        <w:t>124</w:t>
      </w:r>
      <w:r w:rsidRPr="008B0DE7">
        <w:rPr>
          <w:rFonts w:ascii="Arial" w:hAnsi="Arial" w:cs="Arial"/>
          <w:b/>
        </w:rPr>
        <w:tab/>
      </w:r>
      <w:r w:rsidR="006128F7" w:rsidRPr="008B0DE7">
        <w:rPr>
          <w:rFonts w:ascii="Arial" w:hAnsi="Arial" w:cs="Arial"/>
          <w:b/>
        </w:rPr>
        <w:t>I</w:t>
      </w:r>
      <w:r w:rsidRPr="008B0DE7">
        <w:rPr>
          <w:rFonts w:ascii="Arial" w:hAnsi="Arial" w:cs="Arial"/>
          <w:b/>
        </w:rPr>
        <w:t xml:space="preserve">nvestigations </w:t>
      </w:r>
    </w:p>
    <w:p w14:paraId="58676AB2" w14:textId="5B6D2F96" w:rsidR="006A02C1" w:rsidRPr="006F0A89" w:rsidRDefault="006128F7" w:rsidP="00E73174">
      <w:pPr>
        <w:tabs>
          <w:tab w:val="left" w:pos="8789"/>
        </w:tabs>
        <w:spacing w:before="120" w:after="120" w:line="240" w:lineRule="auto"/>
        <w:ind w:left="2268" w:right="819" w:hanging="850"/>
      </w:pPr>
      <w:r>
        <w:t>(1)</w:t>
      </w:r>
      <w:r>
        <w:tab/>
      </w:r>
      <w:r w:rsidR="006B0179" w:rsidRPr="006F0A89">
        <w:t>Without prejudice to the powers of the Chief Executive under the Financial Services Act, where the Chief Executive has reason to believe t</w:t>
      </w:r>
      <w:r w:rsidR="006B0179" w:rsidRPr="00E73174">
        <w:t xml:space="preserve">hat a </w:t>
      </w:r>
      <w:r w:rsidR="006A02C1" w:rsidRPr="00E73174">
        <w:t>person licensed under this Act—</w:t>
      </w:r>
    </w:p>
    <w:p w14:paraId="6D97771A" w14:textId="14BB7D18" w:rsidR="006128F7" w:rsidRDefault="006128F7" w:rsidP="006128F7">
      <w:pPr>
        <w:spacing w:after="111"/>
        <w:ind w:left="2835" w:right="0" w:hanging="567"/>
      </w:pPr>
      <w:r>
        <w:t>(a)</w:t>
      </w:r>
      <w:r>
        <w:tab/>
      </w:r>
      <w:r w:rsidR="006B0179" w:rsidRPr="006F0A89">
        <w:t xml:space="preserve">has failed, is failing or is likely to fail, to comply with any direction issued by the Commission under </w:t>
      </w:r>
      <w:r w:rsidR="00D111EB">
        <w:t>this Act;</w:t>
      </w:r>
    </w:p>
    <w:p w14:paraId="787642FD" w14:textId="64DA0AFE" w:rsidR="00D71772" w:rsidRDefault="006128F7" w:rsidP="00D71772">
      <w:pPr>
        <w:spacing w:after="111"/>
        <w:ind w:left="2835" w:right="0" w:hanging="567"/>
      </w:pPr>
      <w:r>
        <w:t>(b)</w:t>
      </w:r>
      <w:r>
        <w:tab/>
      </w:r>
      <w:r w:rsidR="00EF1790">
        <w:t xml:space="preserve"> </w:t>
      </w:r>
      <w:r w:rsidR="006B0179" w:rsidRPr="006F0A89">
        <w:t>has committed</w:t>
      </w:r>
      <w:r w:rsidR="00FB35FE">
        <w:t xml:space="preserve"> in relation to the securities market</w:t>
      </w:r>
      <w:r w:rsidR="006B0179" w:rsidRPr="006F0A89">
        <w:t>, is committing or is likely to commit a fraud, any financial crime or a serious misconduct</w:t>
      </w:r>
      <w:r w:rsidR="00323065">
        <w:t xml:space="preserve"> </w:t>
      </w:r>
      <w:r w:rsidR="000C7E52">
        <w:t xml:space="preserve">in </w:t>
      </w:r>
      <w:r w:rsidR="00323065">
        <w:t>Maur</w:t>
      </w:r>
      <w:r w:rsidR="003F0569">
        <w:t>i</w:t>
      </w:r>
      <w:r w:rsidR="00323065">
        <w:t>tius</w:t>
      </w:r>
      <w:r w:rsidR="000C7E52">
        <w:t xml:space="preserve"> or in a foreign juri</w:t>
      </w:r>
      <w:r w:rsidR="00941B60">
        <w:t>sdiction</w:t>
      </w:r>
      <w:r w:rsidR="006B0179" w:rsidRPr="006F0A89">
        <w:t>;</w:t>
      </w:r>
    </w:p>
    <w:p w14:paraId="6359631F" w14:textId="06C76F6D" w:rsidR="00FD657E" w:rsidRDefault="00D71772" w:rsidP="00FD657E">
      <w:pPr>
        <w:spacing w:after="111"/>
        <w:ind w:left="2835" w:right="0" w:hanging="567"/>
      </w:pPr>
      <w:r>
        <w:t>(c)</w:t>
      </w:r>
      <w:r>
        <w:tab/>
      </w:r>
      <w:r w:rsidR="006B0179" w:rsidRPr="006F0A89">
        <w:t xml:space="preserve">has carried, is carrying or is likely to carry out any activity </w:t>
      </w:r>
      <w:r w:rsidR="00102BD1">
        <w:t xml:space="preserve">related to </w:t>
      </w:r>
      <w:r w:rsidR="00E639C7">
        <w:t xml:space="preserve">the securities market </w:t>
      </w:r>
      <w:r w:rsidR="006B0179" w:rsidRPr="006F0A89">
        <w:t>which may cause serious prejudice to its customers, or to the soundness, stability and integrity of the financial services sector;</w:t>
      </w:r>
    </w:p>
    <w:p w14:paraId="097138CC" w14:textId="77777777" w:rsidR="006E58B6" w:rsidRDefault="00FD657E" w:rsidP="00FD657E">
      <w:pPr>
        <w:spacing w:after="111"/>
        <w:ind w:left="2835" w:right="0" w:hanging="567"/>
      </w:pPr>
      <w:r>
        <w:t>(d)</w:t>
      </w:r>
      <w:r>
        <w:tab/>
      </w:r>
      <w:r w:rsidR="006B0179" w:rsidRPr="006F0A89">
        <w:t xml:space="preserve">has failed to provide any information or document requested by the Commission, </w:t>
      </w:r>
    </w:p>
    <w:p w14:paraId="54AB739D" w14:textId="51A1D3C5" w:rsidR="00A37B28" w:rsidRDefault="006B0179" w:rsidP="006E58B6">
      <w:pPr>
        <w:spacing w:after="111"/>
        <w:ind w:left="2268" w:right="0" w:firstLine="0"/>
      </w:pPr>
      <w:r w:rsidRPr="006F0A89">
        <w:t>he may make an investigation into the business or any part of the business of the licensee</w:t>
      </w:r>
      <w:r w:rsidR="00E86811" w:rsidRPr="006F0A89">
        <w:t>—</w:t>
      </w:r>
    </w:p>
    <w:p w14:paraId="32B442C0" w14:textId="587D7542" w:rsidR="00A37B28" w:rsidRDefault="00861A23" w:rsidP="000C7C33">
      <w:pPr>
        <w:pStyle w:val="ListParagraph"/>
        <w:numPr>
          <w:ilvl w:val="0"/>
          <w:numId w:val="20"/>
        </w:numPr>
        <w:spacing w:after="111"/>
        <w:ind w:right="0"/>
      </w:pPr>
      <w:r>
        <w:t>on behalf of the Commi</w:t>
      </w:r>
      <w:r w:rsidR="004A5135">
        <w:t>s</w:t>
      </w:r>
      <w:r>
        <w:t>s</w:t>
      </w:r>
      <w:r w:rsidR="004A5135">
        <w:t>i</w:t>
      </w:r>
      <w:r>
        <w:t>on</w:t>
      </w:r>
      <w:r w:rsidR="00AD3EB1">
        <w:t>;</w:t>
      </w:r>
      <w:r>
        <w:t xml:space="preserve"> or </w:t>
      </w:r>
    </w:p>
    <w:p w14:paraId="17553F69" w14:textId="438FDD03" w:rsidR="006471FE" w:rsidRPr="006F0A89" w:rsidRDefault="00861A23" w:rsidP="000C7C33">
      <w:pPr>
        <w:pStyle w:val="ListParagraph"/>
        <w:numPr>
          <w:ilvl w:val="0"/>
          <w:numId w:val="20"/>
        </w:numPr>
        <w:spacing w:after="111"/>
        <w:ind w:right="0"/>
      </w:pPr>
      <w:r>
        <w:t xml:space="preserve">on behalf of a </w:t>
      </w:r>
      <w:r w:rsidR="004A5135">
        <w:t xml:space="preserve">foreign supervisory </w:t>
      </w:r>
      <w:r w:rsidR="00CB0771">
        <w:t xml:space="preserve">institution </w:t>
      </w:r>
      <w:r w:rsidR="00A37B28">
        <w:t xml:space="preserve">pursuant </w:t>
      </w:r>
      <w:r w:rsidR="00CB0771">
        <w:t xml:space="preserve">to an agreement under section </w:t>
      </w:r>
      <w:r w:rsidR="000C7C33">
        <w:t>87(4) of the Financial Services Act 2007</w:t>
      </w:r>
      <w:r w:rsidR="006B0179" w:rsidRPr="006F0A89">
        <w:t>.</w:t>
      </w:r>
    </w:p>
    <w:p w14:paraId="201D96F7" w14:textId="48461491" w:rsidR="006B0179" w:rsidRPr="006F0A89" w:rsidRDefault="00871FA6" w:rsidP="00871FA6">
      <w:pPr>
        <w:spacing w:after="111"/>
        <w:ind w:left="1701" w:right="0" w:hanging="567"/>
      </w:pPr>
      <w:r>
        <w:t>(2)</w:t>
      </w:r>
      <w:r>
        <w:tab/>
      </w:r>
      <w:r w:rsidR="006B0179" w:rsidRPr="006F0A89">
        <w:t>For the purpose of an investigation under subsection (1), the Chief Executive may, by notice in writing, require—</w:t>
      </w:r>
    </w:p>
    <w:p w14:paraId="2A353E0D" w14:textId="0DB2897C" w:rsidR="006B0179" w:rsidRPr="006F0A89" w:rsidRDefault="006B0179" w:rsidP="00871FA6">
      <w:pPr>
        <w:numPr>
          <w:ilvl w:val="1"/>
          <w:numId w:val="2"/>
        </w:numPr>
        <w:spacing w:after="111"/>
        <w:ind w:left="2268" w:right="0" w:hanging="567"/>
      </w:pPr>
      <w:r w:rsidRPr="006F0A89">
        <w:t xml:space="preserve">a licensee whose affairs are to be investigated to attend, at a specified time and place, and answer questions or otherwise furnish information or produce such documents as may be required with respect to any matter relevant to an investigation by </w:t>
      </w:r>
      <w:r w:rsidR="006F0A89" w:rsidRPr="006F0A89">
        <w:t>the Chief Executive</w:t>
      </w:r>
      <w:r w:rsidRPr="006F0A89">
        <w:t xml:space="preserve">; and </w:t>
      </w:r>
    </w:p>
    <w:p w14:paraId="579A34AA" w14:textId="011E89DF" w:rsidR="006B0179" w:rsidRPr="006F0A89" w:rsidRDefault="006B0179" w:rsidP="00871FA6">
      <w:pPr>
        <w:numPr>
          <w:ilvl w:val="1"/>
          <w:numId w:val="2"/>
        </w:numPr>
        <w:spacing w:after="111"/>
        <w:ind w:left="2268" w:right="0" w:hanging="567"/>
      </w:pPr>
      <w:r w:rsidRPr="006F0A89">
        <w:t>any officer of the licensee person to furnish information or to produce any document in his custody or under his control.</w:t>
      </w:r>
    </w:p>
    <w:p w14:paraId="420F3119" w14:textId="0B9BD1F5" w:rsidR="00E91491" w:rsidRDefault="00687296" w:rsidP="00E91491">
      <w:pPr>
        <w:spacing w:after="111"/>
        <w:ind w:left="1726" w:right="0" w:hanging="592"/>
      </w:pPr>
      <w:r>
        <w:t>(3)</w:t>
      </w:r>
      <w:r>
        <w:tab/>
      </w:r>
      <w:r w:rsidR="006B0179" w:rsidRPr="006F0A89">
        <w:t>The Chief Executive may take copies or extracts from any document produced under subsection (2) and may require the person producing the document to give any explanation relating to such document.</w:t>
      </w:r>
    </w:p>
    <w:p w14:paraId="1A902106" w14:textId="73D26258" w:rsidR="00E91491" w:rsidRDefault="00E91491" w:rsidP="00E91491">
      <w:pPr>
        <w:spacing w:after="111"/>
        <w:ind w:left="1726" w:right="0" w:hanging="592"/>
      </w:pPr>
      <w:r>
        <w:t>(4)</w:t>
      </w:r>
      <w:r>
        <w:tab/>
      </w:r>
      <w:r w:rsidR="006B0179" w:rsidRPr="006F0A89">
        <w:t>Where material to which an investigation relates consists of information stored in a computer, disc, cassette, or on microfilm, or preserved by any mechanical or electronic device, the request from the Chief Executive shall be deemed to require the person named therein to produce or give access to it in a form and medium in which it can be taken away and in which it is visible and legible.</w:t>
      </w:r>
    </w:p>
    <w:p w14:paraId="1C438B86" w14:textId="6913B41A" w:rsidR="00E91491" w:rsidRDefault="00E91491" w:rsidP="00E91491">
      <w:pPr>
        <w:spacing w:after="111"/>
        <w:ind w:left="1726" w:right="0" w:hanging="592"/>
      </w:pPr>
      <w:r>
        <w:t>(5)</w:t>
      </w:r>
      <w:r>
        <w:tab/>
      </w:r>
      <w:r w:rsidR="006B0179" w:rsidRPr="006F0A89">
        <w:t xml:space="preserve">Subject to subsection (6), any person required to attend and answer questions or otherwise furnish information or to produce any specified documents or any documents of a specified class shall not, without reasonable excuse, fail to </w:t>
      </w:r>
      <w:r w:rsidR="00292068">
        <w:t xml:space="preserve">attend or </w:t>
      </w:r>
      <w:r w:rsidR="006B0179" w:rsidRPr="006F0A89">
        <w:t>answer</w:t>
      </w:r>
      <w:r w:rsidR="000A0E0D">
        <w:t xml:space="preserve"> </w:t>
      </w:r>
      <w:r w:rsidR="006B0179" w:rsidRPr="006F0A89">
        <w:t>a question or furnish information or produce a document or class of documents.</w:t>
      </w:r>
    </w:p>
    <w:p w14:paraId="035BBADA" w14:textId="711BDD6A" w:rsidR="00E86811" w:rsidRDefault="00E91491" w:rsidP="00E91491">
      <w:pPr>
        <w:spacing w:after="111"/>
        <w:ind w:left="1726" w:right="0" w:hanging="592"/>
      </w:pPr>
      <w:r>
        <w:t>(6)</w:t>
      </w:r>
      <w:r>
        <w:tab/>
      </w:r>
      <w:r w:rsidR="006B0179" w:rsidRPr="006F0A89">
        <w:t>It shall be a reasonable excuse, for the purposes of subsection (5), for a person to refuse or fail to answer a question put to him or to refuse or fail to produce a document or class of documents that he was required to produce, where the answer to the question or the production of the document or class of documents might tend to incriminate him.</w:t>
      </w:r>
    </w:p>
    <w:p w14:paraId="0529129D" w14:textId="003EC6C2" w:rsidR="00E91491" w:rsidRDefault="00E91491" w:rsidP="00E91491">
      <w:pPr>
        <w:spacing w:after="111"/>
        <w:ind w:left="1726" w:right="0" w:hanging="592"/>
      </w:pPr>
      <w:r>
        <w:t>(7)</w:t>
      </w:r>
      <w:r>
        <w:tab/>
      </w:r>
      <w:r w:rsidR="006B0179" w:rsidRPr="006F0A89">
        <w:t xml:space="preserve">An investigation may take place at any or at all the premises where business of the licensee person is conducted or records are </w:t>
      </w:r>
      <w:r w:rsidR="00590C2A">
        <w:t xml:space="preserve">kept or </w:t>
      </w:r>
      <w:r w:rsidR="006B0179" w:rsidRPr="006F0A89">
        <w:t xml:space="preserve">maintained by the licensee, registered person or associated party. </w:t>
      </w:r>
    </w:p>
    <w:p w14:paraId="6C729AAE" w14:textId="550A17C4" w:rsidR="006B0179" w:rsidRPr="006F0A89" w:rsidRDefault="00E91491" w:rsidP="00E91491">
      <w:pPr>
        <w:spacing w:after="111"/>
        <w:ind w:left="1726" w:right="0" w:hanging="592"/>
      </w:pPr>
      <w:r>
        <w:t>(8)</w:t>
      </w:r>
      <w:r>
        <w:tab/>
      </w:r>
      <w:r w:rsidR="006B0179" w:rsidRPr="006F0A89">
        <w:t>The Chief Executive may appoint any member of the staff of the Commission or any other person to be an investigator who shall have all the powers of the Chief Executive under this section and may require the person under investigation to—</w:t>
      </w:r>
    </w:p>
    <w:p w14:paraId="03A4F5E8" w14:textId="1E0A43F2" w:rsidR="006B0179" w:rsidRPr="006F0A89" w:rsidRDefault="006B0179" w:rsidP="00B94F69">
      <w:pPr>
        <w:pStyle w:val="ListParagraph"/>
        <w:numPr>
          <w:ilvl w:val="1"/>
          <w:numId w:val="5"/>
        </w:numPr>
        <w:spacing w:after="111"/>
        <w:ind w:right="0" w:hanging="474"/>
      </w:pPr>
      <w:r w:rsidRPr="006F0A89">
        <w:t>produce to him at a reasonable time and at a place specified by him any document that may afford such evidence and that is in the possession of the relevant person or under his control;</w:t>
      </w:r>
    </w:p>
    <w:p w14:paraId="15A2CFB9" w14:textId="7F3E8F3E" w:rsidR="002D731B" w:rsidRDefault="002D731B" w:rsidP="002D731B">
      <w:pPr>
        <w:spacing w:after="111"/>
        <w:ind w:left="1701" w:right="0" w:firstLine="0"/>
      </w:pPr>
      <w:r>
        <w:t>(b)</w:t>
      </w:r>
      <w:r>
        <w:tab/>
      </w:r>
      <w:r w:rsidR="006B0179" w:rsidRPr="006F0A89">
        <w:t>give explanations or further information about such documents;</w:t>
      </w:r>
    </w:p>
    <w:p w14:paraId="788B6FBB" w14:textId="0ADD6FA9" w:rsidR="006B0179" w:rsidRPr="006F0A89" w:rsidRDefault="002D731B" w:rsidP="002D731B">
      <w:pPr>
        <w:spacing w:after="111"/>
        <w:ind w:left="2268" w:right="0" w:hanging="567"/>
      </w:pPr>
      <w:r>
        <w:t>(c)</w:t>
      </w:r>
      <w:r>
        <w:tab/>
      </w:r>
      <w:r w:rsidR="006B0179" w:rsidRPr="006F0A89">
        <w:t>attend before the investigator at a reasonable time and place and answer under oath or solemn affirmation question relating to the matter.</w:t>
      </w:r>
    </w:p>
    <w:p w14:paraId="184A4CB3" w14:textId="77DB4AD6" w:rsidR="006B0179" w:rsidRPr="006F0A89" w:rsidRDefault="002D731B" w:rsidP="002D731B">
      <w:pPr>
        <w:spacing w:after="111"/>
        <w:ind w:right="0" w:firstLine="985"/>
      </w:pPr>
      <w:r>
        <w:t>(9)</w:t>
      </w:r>
      <w:r>
        <w:tab/>
        <w:t xml:space="preserve">Any </w:t>
      </w:r>
      <w:r w:rsidR="006B0179" w:rsidRPr="006F0A89">
        <w:t>person who</w:t>
      </w:r>
      <w:bookmarkStart w:id="86" w:name="_Hlk133977979"/>
      <w:r w:rsidR="006B0179" w:rsidRPr="006F0A89">
        <w:t>—</w:t>
      </w:r>
      <w:bookmarkEnd w:id="86"/>
    </w:p>
    <w:p w14:paraId="756D3AED" w14:textId="6C116A94" w:rsidR="006B0179" w:rsidRPr="006F0A89" w:rsidRDefault="006B0179" w:rsidP="00B94F69">
      <w:pPr>
        <w:numPr>
          <w:ilvl w:val="1"/>
          <w:numId w:val="5"/>
        </w:numPr>
        <w:spacing w:after="111"/>
        <w:ind w:left="2835" w:right="0" w:hanging="668"/>
        <w:jc w:val="left"/>
      </w:pPr>
      <w:r w:rsidRPr="006F0A89">
        <w:t>fails to comply with any requirement of this section;</w:t>
      </w:r>
    </w:p>
    <w:p w14:paraId="7A7A965F" w14:textId="1437CDD5" w:rsidR="006B0179" w:rsidRPr="006F0A89" w:rsidRDefault="006B0179" w:rsidP="00B94F69">
      <w:pPr>
        <w:numPr>
          <w:ilvl w:val="1"/>
          <w:numId w:val="5"/>
        </w:numPr>
        <w:spacing w:after="111"/>
        <w:ind w:left="2835" w:right="0" w:hanging="668"/>
      </w:pPr>
      <w:r w:rsidRPr="006F0A89">
        <w:t>obstructs an investigator in the performance of any of his duties under this section;</w:t>
      </w:r>
    </w:p>
    <w:p w14:paraId="4BE7B984" w14:textId="3BE0195B" w:rsidR="006B0179" w:rsidRPr="006F0A89" w:rsidRDefault="006B0179" w:rsidP="00B94F69">
      <w:pPr>
        <w:numPr>
          <w:ilvl w:val="1"/>
          <w:numId w:val="5"/>
        </w:numPr>
        <w:spacing w:after="111"/>
        <w:ind w:left="2835" w:right="0" w:hanging="668"/>
      </w:pPr>
      <w:r w:rsidRPr="006F0A89">
        <w:t>fails, without reasonable cause, to comply with any direction of an investigator in the performance of his duties under this section;</w:t>
      </w:r>
    </w:p>
    <w:p w14:paraId="13C4D24D" w14:textId="733294D7" w:rsidR="006B0179" w:rsidRPr="006F0A89" w:rsidRDefault="006B0179" w:rsidP="00B94F69">
      <w:pPr>
        <w:numPr>
          <w:ilvl w:val="1"/>
          <w:numId w:val="5"/>
        </w:numPr>
        <w:spacing w:after="111"/>
        <w:ind w:left="2835" w:right="0" w:hanging="668"/>
      </w:pPr>
      <w:r w:rsidRPr="006F0A89">
        <w:t xml:space="preserve">in relation to any question put to him by an investigator in the performance of </w:t>
      </w:r>
      <w:r w:rsidR="00B45E58">
        <w:t xml:space="preserve">that person’s </w:t>
      </w:r>
      <w:r w:rsidRPr="006F0A89">
        <w:t>duties under this section—</w:t>
      </w:r>
    </w:p>
    <w:p w14:paraId="00C4832F" w14:textId="7684FDA7" w:rsidR="006B0179" w:rsidRPr="006F0A89" w:rsidRDefault="00027030" w:rsidP="002D0489">
      <w:pPr>
        <w:spacing w:after="111"/>
        <w:ind w:left="3402" w:right="0" w:hanging="567"/>
      </w:pPr>
      <w:r>
        <w:t>(i)</w:t>
      </w:r>
      <w:r>
        <w:tab/>
      </w:r>
      <w:r w:rsidR="006B0179" w:rsidRPr="006F0A89">
        <w:t>says anything, or provides any information or document, that the person—</w:t>
      </w:r>
    </w:p>
    <w:p w14:paraId="0DE93FD3" w14:textId="77777777" w:rsidR="006B0179" w:rsidRPr="006F0A89" w:rsidRDefault="006B0179" w:rsidP="002D0489">
      <w:pPr>
        <w:numPr>
          <w:ilvl w:val="3"/>
          <w:numId w:val="5"/>
        </w:numPr>
        <w:tabs>
          <w:tab w:val="left" w:pos="3969"/>
        </w:tabs>
        <w:spacing w:after="111"/>
        <w:ind w:left="3969" w:right="0" w:hanging="567"/>
      </w:pPr>
      <w:r w:rsidRPr="006F0A89">
        <w:t xml:space="preserve">knows to be false or misleading in a material particular; or </w:t>
      </w:r>
    </w:p>
    <w:p w14:paraId="2FA0E8CB" w14:textId="6703F21E" w:rsidR="006B0179" w:rsidRPr="006F0A89" w:rsidRDefault="006B0179" w:rsidP="002D0489">
      <w:pPr>
        <w:numPr>
          <w:ilvl w:val="3"/>
          <w:numId w:val="5"/>
        </w:numPr>
        <w:tabs>
          <w:tab w:val="left" w:pos="3969"/>
        </w:tabs>
        <w:spacing w:after="111"/>
        <w:ind w:left="3969" w:right="0" w:hanging="567"/>
      </w:pPr>
      <w:r w:rsidRPr="006F0A89">
        <w:t>is reckless as to whether it is false or misleading in a material</w:t>
      </w:r>
      <w:r w:rsidR="005425F5">
        <w:t xml:space="preserve"> </w:t>
      </w:r>
      <w:r w:rsidRPr="006F0A89">
        <w:t>particular;</w:t>
      </w:r>
    </w:p>
    <w:p w14:paraId="4B0F70BD" w14:textId="1D6C4BE2" w:rsidR="006B0179" w:rsidRPr="006F0A89" w:rsidRDefault="00107A63" w:rsidP="002D0489">
      <w:pPr>
        <w:spacing w:after="111"/>
        <w:ind w:left="2798" w:right="0" w:firstLine="37"/>
      </w:pPr>
      <w:r>
        <w:t>(ii)</w:t>
      </w:r>
      <w:r>
        <w:tab/>
      </w:r>
      <w:r w:rsidR="006B0179" w:rsidRPr="006F0A89">
        <w:t>refuses, without reasonable excuse, to answer,</w:t>
      </w:r>
    </w:p>
    <w:p w14:paraId="2A64D6F5" w14:textId="4457AA13" w:rsidR="006B0179" w:rsidRPr="006F0A89" w:rsidRDefault="006B0179" w:rsidP="00EC1809">
      <w:pPr>
        <w:spacing w:after="356" w:line="247" w:lineRule="auto"/>
        <w:ind w:left="1985" w:right="0" w:hanging="11"/>
      </w:pPr>
      <w:r w:rsidRPr="006F0A89">
        <w:t>shall commit an offence and shall, on conviction, be liable to a fine not exceeding one million rupees and to imprisonment for a term not exceeding 3 years.</w:t>
      </w:r>
      <w:r w:rsidR="0035791F">
        <w:t>”.</w:t>
      </w:r>
    </w:p>
    <w:p w14:paraId="0D3B2C96" w14:textId="389717A5" w:rsidR="00E4528B" w:rsidRPr="00862626" w:rsidRDefault="00FB4B64" w:rsidP="00862626">
      <w:pPr>
        <w:pStyle w:val="iLAWS300Article"/>
        <w:rPr>
          <w:rStyle w:val="iLAWS914ArticleNumber"/>
          <w:rFonts w:ascii="Arial" w:eastAsia="Arial" w:hAnsi="Arial" w:cs="Arial"/>
        </w:rPr>
      </w:pPr>
      <w:bookmarkStart w:id="87" w:name="_Toc136474875"/>
      <w:bookmarkStart w:id="88" w:name="_Toc151283305"/>
      <w:bookmarkStart w:id="89" w:name="_Hlk134497231"/>
      <w:r>
        <w:rPr>
          <w:rStyle w:val="iLAWS914ArticleNumber"/>
          <w:rFonts w:ascii="Arial" w:eastAsia="Calibri" w:hAnsi="Arial" w:cs="Arial"/>
        </w:rPr>
        <w:t>3</w:t>
      </w:r>
      <w:r w:rsidR="007A7482">
        <w:rPr>
          <w:rStyle w:val="iLAWS914ArticleNumber"/>
          <w:rFonts w:ascii="Arial" w:eastAsia="Calibri" w:hAnsi="Arial" w:cs="Arial"/>
        </w:rPr>
        <w:t>8</w:t>
      </w:r>
      <w:r w:rsidR="00E4528B" w:rsidRPr="00862626">
        <w:rPr>
          <w:rStyle w:val="iLAWS914ArticleNumber"/>
          <w:rFonts w:ascii="Arial" w:eastAsia="Arial" w:hAnsi="Arial" w:cs="Arial"/>
        </w:rPr>
        <w:tab/>
        <w:t xml:space="preserve">Section </w:t>
      </w:r>
      <w:r w:rsidR="00E22604" w:rsidRPr="00862626">
        <w:rPr>
          <w:rStyle w:val="iLAWS914ArticleNumber"/>
          <w:rFonts w:ascii="Arial" w:eastAsia="Arial" w:hAnsi="Arial" w:cs="Arial"/>
        </w:rPr>
        <w:t>153A</w:t>
      </w:r>
      <w:r w:rsidR="007F0B39">
        <w:rPr>
          <w:rStyle w:val="iLAWS914ArticleNumber"/>
          <w:rFonts w:ascii="Arial" w:eastAsia="Arial" w:hAnsi="Arial" w:cs="Arial"/>
        </w:rPr>
        <w:t xml:space="preserve"> </w:t>
      </w:r>
      <w:r w:rsidR="00E34123">
        <w:rPr>
          <w:rStyle w:val="iLAWS914ArticleNumber"/>
          <w:rFonts w:ascii="Arial" w:eastAsia="Arial" w:hAnsi="Arial" w:cs="Arial"/>
        </w:rPr>
        <w:t>and 153</w:t>
      </w:r>
      <w:r w:rsidR="00E516A7">
        <w:rPr>
          <w:rStyle w:val="iLAWS914ArticleNumber"/>
          <w:rFonts w:ascii="Arial" w:eastAsia="Arial" w:hAnsi="Arial" w:cs="Arial"/>
        </w:rPr>
        <w:t>B</w:t>
      </w:r>
      <w:r w:rsidR="00E4528B" w:rsidRPr="00862626">
        <w:rPr>
          <w:rStyle w:val="iLAWS914ArticleNumber"/>
          <w:rFonts w:ascii="Arial" w:eastAsia="Arial" w:hAnsi="Arial" w:cs="Arial"/>
        </w:rPr>
        <w:t xml:space="preserve"> of the principal Act inserted</w:t>
      </w:r>
      <w:bookmarkEnd w:id="87"/>
      <w:bookmarkEnd w:id="88"/>
    </w:p>
    <w:bookmarkEnd w:id="89"/>
    <w:p w14:paraId="4B4B6BF3" w14:textId="40AE7681" w:rsidR="004C324F" w:rsidRPr="007B5181" w:rsidRDefault="00476234" w:rsidP="0067067C">
      <w:pPr>
        <w:spacing w:before="240" w:after="120" w:line="247" w:lineRule="auto"/>
        <w:ind w:left="567" w:right="1168" w:firstLine="0"/>
      </w:pPr>
      <w:r w:rsidRPr="007B5181">
        <w:t xml:space="preserve">The principal Act is amended by inserting after section 153the following </w:t>
      </w:r>
      <w:r w:rsidR="00AD3C4F">
        <w:t xml:space="preserve">new </w:t>
      </w:r>
      <w:r w:rsidRPr="007B5181">
        <w:t>section</w:t>
      </w:r>
      <w:r w:rsidR="00E34123">
        <w:t>s</w:t>
      </w:r>
      <w:r w:rsidR="004C324F" w:rsidRPr="007B5181">
        <w:t xml:space="preserve"> — </w:t>
      </w:r>
    </w:p>
    <w:p w14:paraId="7FE1EBDA" w14:textId="1864EF5E" w:rsidR="00852663" w:rsidRPr="007B5181" w:rsidRDefault="00E4528B" w:rsidP="0067067C">
      <w:pPr>
        <w:tabs>
          <w:tab w:val="left" w:pos="1134"/>
        </w:tabs>
        <w:ind w:left="567" w:firstLine="0"/>
        <w:rPr>
          <w:rFonts w:ascii="Arial" w:hAnsi="Arial" w:cs="Arial"/>
          <w:b/>
          <w:bCs/>
        </w:rPr>
      </w:pPr>
      <w:r w:rsidRPr="007B5181">
        <w:rPr>
          <w:b/>
          <w:bCs/>
        </w:rPr>
        <w:t>“</w:t>
      </w:r>
      <w:r w:rsidR="00E22604" w:rsidRPr="007B5181">
        <w:rPr>
          <w:rFonts w:ascii="Arial" w:hAnsi="Arial" w:cs="Arial"/>
          <w:b/>
          <w:bCs/>
        </w:rPr>
        <w:t>153A</w:t>
      </w:r>
      <w:r w:rsidR="00AA1791" w:rsidRPr="007B5181">
        <w:rPr>
          <w:rFonts w:ascii="Arial" w:hAnsi="Arial" w:cs="Arial"/>
          <w:b/>
          <w:bCs/>
        </w:rPr>
        <w:tab/>
      </w:r>
      <w:r w:rsidR="00C03A82" w:rsidRPr="007B5181">
        <w:rPr>
          <w:rFonts w:ascii="Arial" w:hAnsi="Arial" w:cs="Arial"/>
          <w:b/>
          <w:bCs/>
        </w:rPr>
        <w:t>G</w:t>
      </w:r>
      <w:r w:rsidRPr="007B5181">
        <w:rPr>
          <w:rFonts w:ascii="Arial" w:hAnsi="Arial" w:cs="Arial"/>
          <w:b/>
          <w:bCs/>
        </w:rPr>
        <w:t>u</w:t>
      </w:r>
      <w:r w:rsidR="00C03A82" w:rsidRPr="007B5181">
        <w:rPr>
          <w:rFonts w:ascii="Arial" w:hAnsi="Arial" w:cs="Arial"/>
          <w:b/>
          <w:bCs/>
        </w:rPr>
        <w:t>i</w:t>
      </w:r>
      <w:r w:rsidRPr="007B5181">
        <w:rPr>
          <w:rFonts w:ascii="Arial" w:hAnsi="Arial" w:cs="Arial"/>
          <w:b/>
          <w:bCs/>
        </w:rPr>
        <w:t>dance</w:t>
      </w:r>
    </w:p>
    <w:p w14:paraId="467623FA" w14:textId="66ABF2ED" w:rsidR="00B15D49" w:rsidRPr="007B5181" w:rsidRDefault="00B15D49" w:rsidP="0067067C">
      <w:pPr>
        <w:tabs>
          <w:tab w:val="left" w:pos="1701"/>
        </w:tabs>
        <w:spacing w:after="120"/>
        <w:ind w:left="567" w:right="0" w:firstLine="0"/>
      </w:pPr>
      <w:r w:rsidRPr="007B5181">
        <w:t>The C</w:t>
      </w:r>
      <w:r w:rsidR="00852663" w:rsidRPr="007B5181">
        <w:t>ommission may issue guidance in connection with its functions under this Act in particular relating to</w:t>
      </w:r>
      <w:bookmarkStart w:id="90" w:name="_Hlk133978413"/>
      <w:r w:rsidR="004C324F" w:rsidRPr="007B5181">
        <w:t>—</w:t>
      </w:r>
      <w:bookmarkEnd w:id="90"/>
    </w:p>
    <w:p w14:paraId="5AB2163D" w14:textId="29D293C0" w:rsidR="005765E1" w:rsidRPr="007B5181" w:rsidRDefault="007D7D99" w:rsidP="0067067C">
      <w:pPr>
        <w:pStyle w:val="ListParagraph"/>
        <w:numPr>
          <w:ilvl w:val="0"/>
          <w:numId w:val="3"/>
        </w:numPr>
        <w:spacing w:after="120"/>
        <w:ind w:left="1701" w:right="0" w:hanging="567"/>
      </w:pPr>
      <w:r w:rsidRPr="007B5181">
        <w:t xml:space="preserve">the matters to be considered </w:t>
      </w:r>
      <w:r w:rsidR="009F5D40">
        <w:t xml:space="preserve">and the </w:t>
      </w:r>
      <w:r w:rsidR="006460B1">
        <w:t>proc</w:t>
      </w:r>
      <w:r w:rsidR="009F5D40">
        <w:t xml:space="preserve">edures (including the timelines) to be followed by the Commission </w:t>
      </w:r>
      <w:r w:rsidR="00475947" w:rsidRPr="007B5181">
        <w:t>for the purpose of determining applicatio</w:t>
      </w:r>
      <w:r w:rsidR="00B95E93" w:rsidRPr="007B5181">
        <w:t>n</w:t>
      </w:r>
      <w:r w:rsidR="00475947" w:rsidRPr="007B5181">
        <w:t xml:space="preserve">s for </w:t>
      </w:r>
      <w:r w:rsidR="00A53F69" w:rsidRPr="007B5181">
        <w:t>a</w:t>
      </w:r>
      <w:r w:rsidR="00475947" w:rsidRPr="007B5181">
        <w:t>uthorisation of licen</w:t>
      </w:r>
      <w:r w:rsidR="00A53F69" w:rsidRPr="007B5181">
        <w:t>sees;</w:t>
      </w:r>
    </w:p>
    <w:p w14:paraId="34B590CF" w14:textId="445F7872" w:rsidR="00A95AE1" w:rsidRPr="007B5181" w:rsidRDefault="00590C2A" w:rsidP="0067067C">
      <w:pPr>
        <w:pStyle w:val="ListParagraph"/>
        <w:numPr>
          <w:ilvl w:val="0"/>
          <w:numId w:val="3"/>
        </w:numPr>
        <w:spacing w:after="120"/>
        <w:ind w:left="1701" w:right="0" w:hanging="567"/>
      </w:pPr>
      <w:r>
        <w:t>kee</w:t>
      </w:r>
      <w:r w:rsidR="00FE3FF1">
        <w:t>ping</w:t>
      </w:r>
      <w:r>
        <w:t xml:space="preserve"> of books and </w:t>
      </w:r>
      <w:r w:rsidR="00852663" w:rsidRPr="007B5181">
        <w:t>record</w:t>
      </w:r>
      <w:r>
        <w:t>s</w:t>
      </w:r>
      <w:r w:rsidR="00683AEF">
        <w:t xml:space="preserve"> </w:t>
      </w:r>
      <w:r w:rsidR="00CF7EAE" w:rsidRPr="007B5181">
        <w:t xml:space="preserve">by </w:t>
      </w:r>
      <w:r w:rsidR="00A95AE1" w:rsidRPr="007B5181">
        <w:t xml:space="preserve">licensees; </w:t>
      </w:r>
    </w:p>
    <w:p w14:paraId="5AEC968E" w14:textId="70900E04" w:rsidR="00B15D49" w:rsidRPr="007B5181" w:rsidRDefault="00852663" w:rsidP="0067067C">
      <w:pPr>
        <w:pStyle w:val="ListParagraph"/>
        <w:numPr>
          <w:ilvl w:val="0"/>
          <w:numId w:val="3"/>
        </w:numPr>
        <w:spacing w:after="120"/>
        <w:ind w:left="1701" w:right="0" w:hanging="567"/>
      </w:pPr>
      <w:r w:rsidRPr="007B5181">
        <w:t>transaction monitoring</w:t>
      </w:r>
      <w:r w:rsidR="00CF7EAE" w:rsidRPr="007B5181">
        <w:t xml:space="preserve"> </w:t>
      </w:r>
      <w:r w:rsidR="00DA4E81" w:rsidRPr="007B5181">
        <w:t xml:space="preserve">by </w:t>
      </w:r>
      <w:r w:rsidR="00CF7EAE" w:rsidRPr="007B5181">
        <w:t>licensees</w:t>
      </w:r>
      <w:r w:rsidRPr="007B5181">
        <w:t>;</w:t>
      </w:r>
    </w:p>
    <w:p w14:paraId="5E483A73" w14:textId="514C0B14" w:rsidR="00B15D49" w:rsidRPr="007B5181" w:rsidRDefault="00852663" w:rsidP="0067067C">
      <w:pPr>
        <w:pStyle w:val="ListParagraph"/>
        <w:numPr>
          <w:ilvl w:val="0"/>
          <w:numId w:val="3"/>
        </w:numPr>
        <w:spacing w:after="120"/>
        <w:ind w:left="1701" w:right="0" w:hanging="567"/>
      </w:pPr>
      <w:r w:rsidRPr="007B5181">
        <w:t>the periodic information, indices and averages on activities in order to ensure transparency and equity to investors to be published by a securities exchange under section</w:t>
      </w:r>
      <w:r w:rsidR="005C3D96" w:rsidRPr="007B5181">
        <w:t xml:space="preserve"> </w:t>
      </w:r>
      <w:r w:rsidR="007028DF" w:rsidRPr="007B5181">
        <w:t>17</w:t>
      </w:r>
      <w:r w:rsidRPr="007B5181">
        <w:t xml:space="preserve">; </w:t>
      </w:r>
    </w:p>
    <w:p w14:paraId="522E13C7" w14:textId="2BFDD734" w:rsidR="00B15D49" w:rsidRPr="007B5181" w:rsidRDefault="00852663" w:rsidP="0067067C">
      <w:pPr>
        <w:pStyle w:val="ListParagraph"/>
        <w:numPr>
          <w:ilvl w:val="0"/>
          <w:numId w:val="3"/>
        </w:numPr>
        <w:spacing w:after="120"/>
        <w:ind w:left="1701" w:right="0" w:hanging="567"/>
      </w:pPr>
      <w:r w:rsidRPr="007B5181">
        <w:t>criteria to identify systemic risks</w:t>
      </w:r>
      <w:r w:rsidR="00B15D49" w:rsidRPr="007B5181">
        <w:t>;</w:t>
      </w:r>
    </w:p>
    <w:p w14:paraId="3FC3BE27" w14:textId="30294453" w:rsidR="00B15D49" w:rsidRPr="007B5181" w:rsidRDefault="00852663" w:rsidP="0067067C">
      <w:pPr>
        <w:pStyle w:val="ListParagraph"/>
        <w:numPr>
          <w:ilvl w:val="0"/>
          <w:numId w:val="3"/>
        </w:numPr>
        <w:spacing w:after="120"/>
        <w:ind w:left="1701" w:right="0" w:hanging="567"/>
      </w:pPr>
      <w:r w:rsidRPr="007B5181">
        <w:t xml:space="preserve">the licensing of securities exchanges and </w:t>
      </w:r>
      <w:r w:rsidR="00B230F9" w:rsidRPr="007B5181">
        <w:t xml:space="preserve">securities </w:t>
      </w:r>
      <w:r w:rsidRPr="007B5181">
        <w:t>trading systems</w:t>
      </w:r>
      <w:r w:rsidR="005C3D96" w:rsidRPr="007B5181">
        <w:t>;</w:t>
      </w:r>
    </w:p>
    <w:p w14:paraId="3C55C1B7" w14:textId="77777777" w:rsidR="00095E77" w:rsidRDefault="00852663" w:rsidP="0067067C">
      <w:pPr>
        <w:pStyle w:val="ListParagraph"/>
        <w:numPr>
          <w:ilvl w:val="0"/>
          <w:numId w:val="3"/>
        </w:numPr>
        <w:spacing w:after="356" w:line="247" w:lineRule="auto"/>
        <w:ind w:left="1701" w:right="0" w:hanging="567"/>
      </w:pPr>
      <w:r w:rsidRPr="00852663">
        <w:t>the rules to be made by a</w:t>
      </w:r>
      <w:r w:rsidR="004C324F">
        <w:t xml:space="preserve"> </w:t>
      </w:r>
      <w:r w:rsidRPr="00852663">
        <w:t>securities exchange under section 13 and a clearing settlement facility under section 14</w:t>
      </w:r>
      <w:r w:rsidR="00095E77">
        <w:t>;</w:t>
      </w:r>
    </w:p>
    <w:p w14:paraId="2FD10000" w14:textId="77777777" w:rsidR="005359CA" w:rsidRPr="00FE3FF1" w:rsidRDefault="00BC5552" w:rsidP="0067067C">
      <w:pPr>
        <w:pStyle w:val="ListParagraph"/>
        <w:numPr>
          <w:ilvl w:val="0"/>
          <w:numId w:val="3"/>
        </w:numPr>
        <w:spacing w:after="356" w:line="247" w:lineRule="auto"/>
        <w:ind w:left="1701" w:right="0" w:hanging="567"/>
      </w:pPr>
      <w:r w:rsidRPr="00FE3FF1">
        <w:t>operational</w:t>
      </w:r>
      <w:r w:rsidR="00202C81" w:rsidRPr="00FE3FF1">
        <w:t xml:space="preserve"> resilience in </w:t>
      </w:r>
      <w:r w:rsidRPr="00FE3FF1">
        <w:t xml:space="preserve">the </w:t>
      </w:r>
      <w:r w:rsidR="00202C81" w:rsidRPr="00FE3FF1">
        <w:t>market infrastructure</w:t>
      </w:r>
      <w:r w:rsidR="005359CA" w:rsidRPr="00FE3FF1">
        <w:t xml:space="preserve">; </w:t>
      </w:r>
    </w:p>
    <w:p w14:paraId="753901ED" w14:textId="40C94C38" w:rsidR="002E421D" w:rsidRPr="00FE3FF1" w:rsidRDefault="005359CA" w:rsidP="0067067C">
      <w:pPr>
        <w:pStyle w:val="ListParagraph"/>
        <w:numPr>
          <w:ilvl w:val="0"/>
          <w:numId w:val="3"/>
        </w:numPr>
        <w:spacing w:after="356" w:line="247" w:lineRule="auto"/>
        <w:ind w:left="1701" w:right="0" w:hanging="567"/>
      </w:pPr>
      <w:r w:rsidRPr="00FE3FF1">
        <w:t>monitoring</w:t>
      </w:r>
      <w:r w:rsidR="00875432" w:rsidRPr="00FE3FF1">
        <w:t xml:space="preserve">, detection </w:t>
      </w:r>
      <w:r w:rsidR="000A10AF" w:rsidRPr="00FE3FF1">
        <w:t xml:space="preserve">and surveillance </w:t>
      </w:r>
      <w:r w:rsidR="008E11F9" w:rsidRPr="00FE3FF1">
        <w:t>of market abuse by licensees</w:t>
      </w:r>
      <w:r w:rsidR="002E421D" w:rsidRPr="00FE3FF1">
        <w:t xml:space="preserve">; </w:t>
      </w:r>
    </w:p>
    <w:p w14:paraId="4A4C1A0C" w14:textId="5C4BDDB3" w:rsidR="00852663" w:rsidRDefault="002E421D" w:rsidP="0067067C">
      <w:pPr>
        <w:pStyle w:val="ListParagraph"/>
        <w:numPr>
          <w:ilvl w:val="0"/>
          <w:numId w:val="3"/>
        </w:numPr>
        <w:spacing w:after="356" w:line="247" w:lineRule="auto"/>
        <w:ind w:left="1701" w:right="0" w:hanging="567"/>
      </w:pPr>
      <w:r w:rsidRPr="00FE3FF1">
        <w:t>insiders lists</w:t>
      </w:r>
      <w:r w:rsidR="00EF13BC" w:rsidRPr="00FE3FF1">
        <w:t xml:space="preserve"> and market soundings</w:t>
      </w:r>
      <w:r w:rsidR="00E516A7" w:rsidRPr="00FE3FF1">
        <w:t xml:space="preserve">; </w:t>
      </w:r>
    </w:p>
    <w:p w14:paraId="7509F3BC" w14:textId="75E0128F" w:rsidR="00140F94" w:rsidRDefault="00C03E25" w:rsidP="0067067C">
      <w:pPr>
        <w:pStyle w:val="ListParagraph"/>
        <w:numPr>
          <w:ilvl w:val="0"/>
          <w:numId w:val="3"/>
        </w:numPr>
        <w:spacing w:after="356" w:line="247" w:lineRule="auto"/>
        <w:ind w:left="1701" w:right="0" w:hanging="567"/>
      </w:pPr>
      <w:r>
        <w:t>conduct that may constitute an offence under Part 1X</w:t>
      </w:r>
      <w:r w:rsidR="00836298">
        <w:t xml:space="preserve"> – Market Abuses;</w:t>
      </w:r>
    </w:p>
    <w:p w14:paraId="3155CCEF" w14:textId="009C8D1B" w:rsidR="00264592" w:rsidRDefault="00B33344" w:rsidP="0067067C">
      <w:pPr>
        <w:pStyle w:val="ListParagraph"/>
        <w:numPr>
          <w:ilvl w:val="0"/>
          <w:numId w:val="3"/>
        </w:numPr>
        <w:spacing w:after="356" w:line="247" w:lineRule="auto"/>
        <w:ind w:left="1701" w:right="0" w:hanging="567"/>
      </w:pPr>
      <w:r>
        <w:t>credit rating agencie</w:t>
      </w:r>
      <w:r w:rsidR="00694491">
        <w:t>s;</w:t>
      </w:r>
    </w:p>
    <w:p w14:paraId="3A1651CC" w14:textId="77777777" w:rsidR="00F310D7" w:rsidRDefault="00CF0D7B" w:rsidP="007B2210">
      <w:pPr>
        <w:pStyle w:val="ListParagraph"/>
        <w:tabs>
          <w:tab w:val="left" w:pos="1134"/>
        </w:tabs>
        <w:spacing w:after="356" w:line="247" w:lineRule="auto"/>
        <w:ind w:left="1701" w:right="0" w:hanging="567"/>
      </w:pPr>
      <w:r>
        <w:t>(m)</w:t>
      </w:r>
      <w:r>
        <w:tab/>
      </w:r>
      <w:r w:rsidR="00887779">
        <w:t xml:space="preserve">the specification of </w:t>
      </w:r>
      <w:r w:rsidR="004C5DDD">
        <w:t xml:space="preserve">risk management </w:t>
      </w:r>
      <w:r w:rsidR="00DB5A8E">
        <w:t xml:space="preserve">arrangements </w:t>
      </w:r>
      <w:r w:rsidR="00887779">
        <w:t>for CIS manager</w:t>
      </w:r>
      <w:r w:rsidR="00656E7A">
        <w:t>s;</w:t>
      </w:r>
    </w:p>
    <w:p w14:paraId="5BA43EFA" w14:textId="77777777" w:rsidR="000831D6" w:rsidRDefault="00B722A4" w:rsidP="000831D6">
      <w:pPr>
        <w:pStyle w:val="ListParagraph"/>
        <w:tabs>
          <w:tab w:val="left" w:pos="1134"/>
        </w:tabs>
        <w:spacing w:after="356" w:line="247" w:lineRule="auto"/>
        <w:ind w:left="1701" w:right="0" w:hanging="567"/>
      </w:pPr>
      <w:r>
        <w:t>(n)</w:t>
      </w:r>
      <w:r>
        <w:tab/>
        <w:t>licensee</w:t>
      </w:r>
      <w:r w:rsidR="000867AD">
        <w:t>s operating Global Business Licences</w:t>
      </w:r>
      <w:r w:rsidR="00823486">
        <w:t xml:space="preserve">; </w:t>
      </w:r>
    </w:p>
    <w:p w14:paraId="5D05191B" w14:textId="1FAB79D6" w:rsidR="000831D6" w:rsidRDefault="000831D6" w:rsidP="000831D6">
      <w:pPr>
        <w:pStyle w:val="ListParagraph"/>
        <w:tabs>
          <w:tab w:val="left" w:pos="1134"/>
        </w:tabs>
        <w:spacing w:after="356" w:line="247" w:lineRule="auto"/>
        <w:ind w:left="1701" w:right="0" w:hanging="567"/>
        <w:rPr>
          <w:rFonts w:eastAsia="Arial"/>
        </w:rPr>
      </w:pPr>
      <w:r w:rsidRPr="00937073">
        <w:rPr>
          <w:rFonts w:eastAsia="Arial"/>
        </w:rPr>
        <w:t>(</w:t>
      </w:r>
      <w:r>
        <w:rPr>
          <w:rFonts w:eastAsia="Arial"/>
        </w:rPr>
        <w:t>o)</w:t>
      </w:r>
      <w:r w:rsidRPr="00937073">
        <w:rPr>
          <w:rFonts w:eastAsia="Arial"/>
        </w:rPr>
        <w:tab/>
        <w:t>the safekeeping of clients funds and asset</w:t>
      </w:r>
      <w:r w:rsidRPr="00550F13">
        <w:rPr>
          <w:rFonts w:eastAsia="Arial"/>
        </w:rPr>
        <w:t>s;</w:t>
      </w:r>
    </w:p>
    <w:p w14:paraId="1B325C6E" w14:textId="0E8EE16D" w:rsidR="000831D6" w:rsidRDefault="000831D6" w:rsidP="000831D6">
      <w:pPr>
        <w:pStyle w:val="ListParagraph"/>
        <w:tabs>
          <w:tab w:val="left" w:pos="1134"/>
        </w:tabs>
        <w:spacing w:after="356" w:line="247" w:lineRule="auto"/>
        <w:ind w:left="1701" w:right="0" w:hanging="567"/>
        <w:rPr>
          <w:rFonts w:eastAsia="Arial"/>
        </w:rPr>
      </w:pPr>
      <w:r>
        <w:rPr>
          <w:rFonts w:eastAsia="Arial"/>
        </w:rPr>
        <w:t>(p)</w:t>
      </w:r>
      <w:r>
        <w:rPr>
          <w:rFonts w:eastAsia="Arial"/>
        </w:rPr>
        <w:tab/>
      </w:r>
      <w:r w:rsidRPr="00550F13">
        <w:rPr>
          <w:rFonts w:eastAsia="Arial"/>
        </w:rPr>
        <w:t>segregation of duties</w:t>
      </w:r>
      <w:r>
        <w:rPr>
          <w:rFonts w:eastAsia="Arial"/>
        </w:rPr>
        <w:t xml:space="preserve"> of licensees;</w:t>
      </w:r>
    </w:p>
    <w:p w14:paraId="79795B7C" w14:textId="6D67B387" w:rsidR="000831D6" w:rsidRDefault="000831D6" w:rsidP="000831D6">
      <w:pPr>
        <w:pStyle w:val="ListParagraph"/>
        <w:tabs>
          <w:tab w:val="left" w:pos="1134"/>
        </w:tabs>
        <w:spacing w:after="356" w:line="247" w:lineRule="auto"/>
        <w:ind w:left="1701" w:right="0" w:hanging="567"/>
        <w:rPr>
          <w:rFonts w:eastAsia="Arial"/>
        </w:rPr>
      </w:pPr>
      <w:r>
        <w:rPr>
          <w:rFonts w:eastAsia="Arial"/>
        </w:rPr>
        <w:t>(q)</w:t>
      </w:r>
      <w:r>
        <w:rPr>
          <w:rFonts w:eastAsia="Arial"/>
        </w:rPr>
        <w:tab/>
      </w:r>
      <w:r w:rsidRPr="00550F13">
        <w:rPr>
          <w:rFonts w:eastAsia="Arial"/>
        </w:rPr>
        <w:t>procedures for managing conflict of interest</w:t>
      </w:r>
      <w:r>
        <w:rPr>
          <w:rFonts w:eastAsia="Arial"/>
        </w:rPr>
        <w:t>;</w:t>
      </w:r>
      <w:r w:rsidRPr="00550F13">
        <w:rPr>
          <w:rFonts w:eastAsia="Arial"/>
        </w:rPr>
        <w:t xml:space="preserve"> </w:t>
      </w:r>
    </w:p>
    <w:p w14:paraId="7C68C330" w14:textId="50BD13D4" w:rsidR="000831D6" w:rsidRDefault="000831D6" w:rsidP="000831D6">
      <w:pPr>
        <w:pStyle w:val="ListParagraph"/>
        <w:tabs>
          <w:tab w:val="left" w:pos="1134"/>
        </w:tabs>
        <w:spacing w:after="356" w:line="247" w:lineRule="auto"/>
        <w:ind w:left="1701" w:right="0" w:hanging="567"/>
        <w:rPr>
          <w:rFonts w:eastAsia="Arial"/>
        </w:rPr>
      </w:pPr>
      <w:r>
        <w:rPr>
          <w:rFonts w:eastAsia="Arial"/>
        </w:rPr>
        <w:t>(r)</w:t>
      </w:r>
      <w:r>
        <w:rPr>
          <w:rFonts w:eastAsia="Arial"/>
        </w:rPr>
        <w:tab/>
      </w:r>
      <w:r w:rsidRPr="00550F13">
        <w:rPr>
          <w:rFonts w:eastAsia="Arial"/>
        </w:rPr>
        <w:t>reporting requirements</w:t>
      </w:r>
      <w:r>
        <w:rPr>
          <w:rFonts w:eastAsia="Arial"/>
        </w:rPr>
        <w:t xml:space="preserve"> and </w:t>
      </w:r>
      <w:r w:rsidRPr="00550F13">
        <w:rPr>
          <w:rFonts w:eastAsia="Arial"/>
        </w:rPr>
        <w:t>the frequency of such reporting</w:t>
      </w:r>
      <w:r>
        <w:rPr>
          <w:rFonts w:eastAsia="Arial"/>
        </w:rPr>
        <w:t>;</w:t>
      </w:r>
    </w:p>
    <w:p w14:paraId="30DCB841" w14:textId="12DC3E5D" w:rsidR="000831D6" w:rsidRDefault="000831D6" w:rsidP="000831D6">
      <w:pPr>
        <w:pStyle w:val="ListParagraph"/>
        <w:tabs>
          <w:tab w:val="left" w:pos="1134"/>
        </w:tabs>
        <w:spacing w:after="356" w:line="247" w:lineRule="auto"/>
        <w:ind w:left="1701" w:right="0" w:hanging="567"/>
        <w:rPr>
          <w:rFonts w:eastAsia="Arial"/>
        </w:rPr>
      </w:pPr>
      <w:r>
        <w:rPr>
          <w:rFonts w:eastAsia="Arial"/>
        </w:rPr>
        <w:t>(s)</w:t>
      </w:r>
      <w:r>
        <w:rPr>
          <w:rFonts w:eastAsia="Arial"/>
        </w:rPr>
        <w:tab/>
      </w:r>
      <w:r w:rsidR="00937882">
        <w:rPr>
          <w:rFonts w:eastAsia="Arial"/>
        </w:rPr>
        <w:t>the re</w:t>
      </w:r>
      <w:r w:rsidRPr="00550F13">
        <w:rPr>
          <w:rFonts w:eastAsia="Arial"/>
        </w:rPr>
        <w:t>view and evaluation of internal controls</w:t>
      </w:r>
      <w:r>
        <w:rPr>
          <w:rFonts w:eastAsia="Arial"/>
        </w:rPr>
        <w:t>;</w:t>
      </w:r>
    </w:p>
    <w:p w14:paraId="527E7A85" w14:textId="6CBC1B1E" w:rsidR="000831D6" w:rsidRDefault="000831D6" w:rsidP="000831D6">
      <w:pPr>
        <w:pStyle w:val="ListParagraph"/>
        <w:tabs>
          <w:tab w:val="left" w:pos="1134"/>
        </w:tabs>
        <w:spacing w:after="356" w:line="247" w:lineRule="auto"/>
        <w:ind w:left="1701" w:right="0" w:hanging="567"/>
        <w:rPr>
          <w:rFonts w:eastAsia="Arial"/>
        </w:rPr>
      </w:pPr>
      <w:r>
        <w:rPr>
          <w:rFonts w:eastAsia="Arial"/>
        </w:rPr>
        <w:t>(t)</w:t>
      </w:r>
      <w:r>
        <w:rPr>
          <w:rFonts w:eastAsia="Arial"/>
        </w:rPr>
        <w:tab/>
        <w:t>risk management;</w:t>
      </w:r>
    </w:p>
    <w:p w14:paraId="23E1A5F3" w14:textId="77777777" w:rsidR="00280003" w:rsidRDefault="000831D6" w:rsidP="000831D6">
      <w:pPr>
        <w:pStyle w:val="ListParagraph"/>
        <w:tabs>
          <w:tab w:val="left" w:pos="1134"/>
        </w:tabs>
        <w:spacing w:after="356" w:line="247" w:lineRule="auto"/>
        <w:ind w:left="1701" w:right="0" w:hanging="567"/>
        <w:rPr>
          <w:rFonts w:eastAsia="Arial"/>
        </w:rPr>
      </w:pPr>
      <w:r>
        <w:rPr>
          <w:rFonts w:eastAsia="Arial"/>
        </w:rPr>
        <w:t>(u)</w:t>
      </w:r>
      <w:r>
        <w:rPr>
          <w:rFonts w:eastAsia="Arial"/>
        </w:rPr>
        <w:tab/>
        <w:t>direct electronic access</w:t>
      </w:r>
      <w:r w:rsidR="00280003">
        <w:rPr>
          <w:rFonts w:eastAsia="Arial"/>
        </w:rPr>
        <w:t xml:space="preserve">; </w:t>
      </w:r>
    </w:p>
    <w:p w14:paraId="3697F737" w14:textId="748D7D9B" w:rsidR="000831D6" w:rsidRPr="003144A8" w:rsidRDefault="00280003" w:rsidP="000831D6">
      <w:pPr>
        <w:pStyle w:val="ListParagraph"/>
        <w:tabs>
          <w:tab w:val="left" w:pos="1134"/>
        </w:tabs>
        <w:spacing w:after="356" w:line="247" w:lineRule="auto"/>
        <w:ind w:left="1701" w:right="0" w:hanging="567"/>
        <w:rPr>
          <w:rFonts w:eastAsia="Arial"/>
        </w:rPr>
      </w:pPr>
      <w:r>
        <w:rPr>
          <w:rFonts w:eastAsia="Arial"/>
        </w:rPr>
        <w:t>(</w:t>
      </w:r>
      <w:r w:rsidR="00A642A9">
        <w:rPr>
          <w:rFonts w:eastAsia="Arial"/>
        </w:rPr>
        <w:t>v)</w:t>
      </w:r>
      <w:r w:rsidR="00A642A9">
        <w:rPr>
          <w:rFonts w:eastAsia="Arial"/>
        </w:rPr>
        <w:tab/>
        <w:t>handling of customer</w:t>
      </w:r>
      <w:r w:rsidR="00D7057E">
        <w:rPr>
          <w:rFonts w:eastAsia="Arial"/>
        </w:rPr>
        <w:t xml:space="preserve">s’ feedback </w:t>
      </w:r>
      <w:r w:rsidR="00A642A9">
        <w:rPr>
          <w:rFonts w:eastAsia="Arial"/>
        </w:rPr>
        <w:t>complaints</w:t>
      </w:r>
      <w:r w:rsidR="00450636">
        <w:rPr>
          <w:rFonts w:eastAsia="Arial"/>
        </w:rPr>
        <w:t xml:space="preserve"> by licensees</w:t>
      </w:r>
      <w:r w:rsidR="000831D6">
        <w:rPr>
          <w:rFonts w:eastAsia="Arial"/>
        </w:rPr>
        <w:t>.”.</w:t>
      </w:r>
    </w:p>
    <w:p w14:paraId="5F2D7696" w14:textId="39CEC855" w:rsidR="00E516A7" w:rsidRPr="00656E7A" w:rsidRDefault="00E516A7" w:rsidP="00656E7A">
      <w:pPr>
        <w:tabs>
          <w:tab w:val="left" w:pos="1134"/>
        </w:tabs>
        <w:ind w:left="567" w:firstLine="0"/>
        <w:rPr>
          <w:rStyle w:val="iLAWS914ArticleNumber"/>
          <w:rFonts w:ascii="Arial" w:eastAsia="Arial" w:hAnsi="Arial" w:cs="Arial"/>
        </w:rPr>
      </w:pPr>
      <w:bookmarkStart w:id="91" w:name="_Toc136474876"/>
      <w:r w:rsidRPr="00656E7A">
        <w:rPr>
          <w:rFonts w:ascii="Arial" w:hAnsi="Arial" w:cs="Arial"/>
          <w:b/>
          <w:bCs/>
        </w:rPr>
        <w:t>153B</w:t>
      </w:r>
      <w:r w:rsidRPr="00656E7A">
        <w:rPr>
          <w:rFonts w:ascii="Arial" w:hAnsi="Arial" w:cs="Arial"/>
          <w:b/>
          <w:bCs/>
        </w:rPr>
        <w:tab/>
        <w:t>Liability of officers</w:t>
      </w:r>
    </w:p>
    <w:p w14:paraId="2747D46D" w14:textId="21CD130B" w:rsidR="00E516A7" w:rsidRDefault="00E516A7" w:rsidP="00FC46C7">
      <w:pPr>
        <w:spacing w:before="240" w:after="120" w:line="247" w:lineRule="auto"/>
        <w:ind w:left="567" w:right="1168" w:firstLine="0"/>
        <w:rPr>
          <w:rFonts w:ascii="Arial" w:eastAsia="Calibri" w:hAnsi="Arial" w:cs="Arial"/>
        </w:rPr>
      </w:pPr>
      <w:r>
        <w:t xml:space="preserve">Where an offence under this </w:t>
      </w:r>
      <w:r w:rsidR="00C27831">
        <w:t xml:space="preserve">Act </w:t>
      </w:r>
      <w:r>
        <w:t xml:space="preserve">is committed by a </w:t>
      </w:r>
      <w:r w:rsidRPr="00E311CA">
        <w:t>licensee, collective investment scheme, reporting issuer</w:t>
      </w:r>
      <w:r>
        <w:t xml:space="preserve">, listed company any other person, and it is proved that the offence was committed with the consent or connivance of, or is attributable to  the neglect on the part of an officer of the </w:t>
      </w:r>
      <w:bookmarkStart w:id="92" w:name="_Hlk138594576"/>
      <w:r w:rsidRPr="00C20997">
        <w:t>licensee, collective investment scheme, reporting issuer</w:t>
      </w:r>
      <w:r>
        <w:t xml:space="preserve">, listed company </w:t>
      </w:r>
      <w:r w:rsidRPr="00C20997">
        <w:t xml:space="preserve">or </w:t>
      </w:r>
      <w:r>
        <w:t>other person,</w:t>
      </w:r>
      <w:bookmarkEnd w:id="92"/>
      <w:r>
        <w:t xml:space="preserve"> the officer as well as the </w:t>
      </w:r>
      <w:r w:rsidR="00C27831" w:rsidRPr="00C20997">
        <w:t>licensee, collective investment scheme, reporting issuer</w:t>
      </w:r>
      <w:r w:rsidR="00C27831">
        <w:t xml:space="preserve">, listed company </w:t>
      </w:r>
      <w:r w:rsidR="00C27831" w:rsidRPr="00C20997">
        <w:t xml:space="preserve">or </w:t>
      </w:r>
      <w:r w:rsidR="00C27831">
        <w:t>other person</w:t>
      </w:r>
      <w:r>
        <w:t xml:space="preserve"> commits the offence and is liable to be proceeded against and punished accordingly.”.</w:t>
      </w:r>
    </w:p>
    <w:p w14:paraId="1456951E" w14:textId="2E9B67B3" w:rsidR="006C16C8" w:rsidRPr="0067067C" w:rsidRDefault="00FB4B64" w:rsidP="0067067C">
      <w:pPr>
        <w:pStyle w:val="iLAWS300Article"/>
        <w:rPr>
          <w:rFonts w:ascii="Arial" w:eastAsia="Arial" w:hAnsi="Arial" w:cs="Arial"/>
        </w:rPr>
      </w:pPr>
      <w:bookmarkStart w:id="93" w:name="_Toc151283306"/>
      <w:r>
        <w:rPr>
          <w:rFonts w:ascii="Arial" w:eastAsia="Calibri" w:hAnsi="Arial" w:cs="Arial"/>
        </w:rPr>
        <w:t>3</w:t>
      </w:r>
      <w:r w:rsidR="007A7482">
        <w:rPr>
          <w:rFonts w:ascii="Arial" w:eastAsia="Calibri" w:hAnsi="Arial" w:cs="Arial"/>
        </w:rPr>
        <w:t>9</w:t>
      </w:r>
      <w:r w:rsidR="006C16C8" w:rsidRPr="0067067C">
        <w:rPr>
          <w:rFonts w:ascii="Arial" w:eastAsia="Arial" w:hAnsi="Arial" w:cs="Arial"/>
        </w:rPr>
        <w:tab/>
        <w:t>Section 154 of the principal Act amended</w:t>
      </w:r>
      <w:bookmarkEnd w:id="91"/>
      <w:bookmarkEnd w:id="93"/>
    </w:p>
    <w:p w14:paraId="0A86C645" w14:textId="4B577904" w:rsidR="00E70993" w:rsidRPr="00937073" w:rsidRDefault="00251AE7" w:rsidP="0067067C">
      <w:pPr>
        <w:spacing w:before="240" w:after="120" w:line="247" w:lineRule="auto"/>
        <w:ind w:left="567" w:right="1168" w:firstLine="0"/>
        <w:rPr>
          <w:rFonts w:eastAsia="Arial"/>
        </w:rPr>
      </w:pPr>
      <w:r>
        <w:rPr>
          <w:rFonts w:eastAsia="Arial"/>
        </w:rPr>
        <w:t>Section 15</w:t>
      </w:r>
      <w:r w:rsidR="00132A6D">
        <w:rPr>
          <w:rFonts w:eastAsia="Arial"/>
        </w:rPr>
        <w:t>4</w:t>
      </w:r>
      <w:r>
        <w:rPr>
          <w:rFonts w:eastAsia="Arial"/>
        </w:rPr>
        <w:t xml:space="preserve"> of the principal Act is amended in subsection (2</w:t>
      </w:r>
      <w:r w:rsidRPr="00937073">
        <w:rPr>
          <w:rFonts w:eastAsia="Arial"/>
        </w:rPr>
        <w:t>)</w:t>
      </w:r>
      <w:r w:rsidR="006D20B7" w:rsidRPr="00937073">
        <w:t>—</w:t>
      </w:r>
    </w:p>
    <w:p w14:paraId="7772C1E5" w14:textId="75CA6CA3" w:rsidR="006C16C8" w:rsidRPr="00937073" w:rsidRDefault="00E70993" w:rsidP="00132A6D">
      <w:pPr>
        <w:tabs>
          <w:tab w:val="left" w:pos="1134"/>
        </w:tabs>
        <w:ind w:left="567" w:firstLine="0"/>
        <w:rPr>
          <w:rFonts w:eastAsia="Arial"/>
        </w:rPr>
      </w:pPr>
      <w:r w:rsidRPr="00937073">
        <w:rPr>
          <w:rFonts w:eastAsia="Arial"/>
        </w:rPr>
        <w:t>(a)</w:t>
      </w:r>
      <w:r w:rsidRPr="00937073">
        <w:rPr>
          <w:rFonts w:eastAsia="Arial"/>
        </w:rPr>
        <w:tab/>
      </w:r>
      <w:r w:rsidR="003C6757" w:rsidRPr="00937073">
        <w:rPr>
          <w:rFonts w:eastAsia="Arial"/>
        </w:rPr>
        <w:t>by</w:t>
      </w:r>
      <w:r w:rsidR="006C16C8" w:rsidRPr="00937073">
        <w:rPr>
          <w:rFonts w:eastAsia="Arial"/>
        </w:rPr>
        <w:t xml:space="preserve"> inserting after paragraph (</w:t>
      </w:r>
      <w:r w:rsidR="003C6757" w:rsidRPr="00937073">
        <w:rPr>
          <w:rFonts w:eastAsia="Arial"/>
        </w:rPr>
        <w:t>ha</w:t>
      </w:r>
      <w:r w:rsidR="006C16C8" w:rsidRPr="00937073">
        <w:rPr>
          <w:rFonts w:eastAsia="Arial"/>
        </w:rPr>
        <w:t>) the following paragraph</w:t>
      </w:r>
      <w:bookmarkStart w:id="94" w:name="_Hlk137760427"/>
      <w:r w:rsidR="003C6757" w:rsidRPr="00937073">
        <w:t>—</w:t>
      </w:r>
      <w:bookmarkEnd w:id="94"/>
    </w:p>
    <w:p w14:paraId="35BE21A3" w14:textId="289E22BD" w:rsidR="00E70993" w:rsidRPr="00937073" w:rsidRDefault="003C6757" w:rsidP="0059724A">
      <w:pPr>
        <w:ind w:left="1701" w:hanging="567"/>
        <w:rPr>
          <w:rFonts w:eastAsia="Arial"/>
        </w:rPr>
      </w:pPr>
      <w:r w:rsidRPr="00937073">
        <w:rPr>
          <w:rFonts w:eastAsia="Arial"/>
        </w:rPr>
        <w:t>(hb)</w:t>
      </w:r>
      <w:r w:rsidRPr="00937073">
        <w:rPr>
          <w:rFonts w:eastAsia="Arial"/>
        </w:rPr>
        <w:tab/>
        <w:t>providing for over</w:t>
      </w:r>
      <w:r w:rsidR="00F23F70">
        <w:rPr>
          <w:rFonts w:eastAsia="Arial"/>
        </w:rPr>
        <w:t xml:space="preserve"> </w:t>
      </w:r>
      <w:r w:rsidRPr="00937073">
        <w:rPr>
          <w:rFonts w:eastAsia="Arial"/>
        </w:rPr>
        <w:t>the counter derivatives and establishing an over the counter derivatives venue</w:t>
      </w:r>
      <w:r w:rsidR="00D71772" w:rsidRPr="00937073">
        <w:rPr>
          <w:rFonts w:eastAsia="Arial"/>
        </w:rPr>
        <w:t>;”</w:t>
      </w:r>
      <w:r w:rsidR="00E70993" w:rsidRPr="00937073">
        <w:rPr>
          <w:rFonts w:eastAsia="Arial"/>
        </w:rPr>
        <w:t xml:space="preserve">; </w:t>
      </w:r>
    </w:p>
    <w:p w14:paraId="0E94D354" w14:textId="77777777" w:rsidR="00266C91" w:rsidRDefault="00751BAE" w:rsidP="00A95295">
      <w:pPr>
        <w:tabs>
          <w:tab w:val="left" w:pos="1134"/>
        </w:tabs>
        <w:ind w:left="567" w:firstLine="0"/>
      </w:pPr>
      <w:r w:rsidRPr="00937073">
        <w:rPr>
          <w:rFonts w:eastAsia="Arial"/>
        </w:rPr>
        <w:t>(b)</w:t>
      </w:r>
      <w:r w:rsidRPr="00937073">
        <w:rPr>
          <w:rFonts w:eastAsia="Arial"/>
        </w:rPr>
        <w:tab/>
      </w:r>
      <w:r w:rsidR="00266C91">
        <w:rPr>
          <w:rFonts w:eastAsia="Arial"/>
        </w:rPr>
        <w:t>in paragraph (f)</w:t>
      </w:r>
      <w:r w:rsidR="00266C91" w:rsidRPr="00937073">
        <w:rPr>
          <w:rFonts w:eastAsia="Arial"/>
        </w:rPr>
        <w:t xml:space="preserve"> </w:t>
      </w:r>
      <w:bookmarkStart w:id="95" w:name="_Hlk137760470"/>
      <w:r w:rsidR="00266C91" w:rsidRPr="00937073">
        <w:t>—</w:t>
      </w:r>
      <w:bookmarkEnd w:id="95"/>
    </w:p>
    <w:p w14:paraId="1C3EE5A2" w14:textId="7AD294B2" w:rsidR="00A95295" w:rsidRDefault="003A2B5B" w:rsidP="002D0489">
      <w:pPr>
        <w:tabs>
          <w:tab w:val="left" w:pos="1134"/>
        </w:tabs>
        <w:ind w:left="1701" w:hanging="567"/>
      </w:pPr>
      <w:r>
        <w:rPr>
          <w:rStyle w:val="iLAWS916SubParagraphCharacter"/>
          <w:rFonts w:eastAsia="Arial"/>
        </w:rPr>
        <w:t>(i)</w:t>
      </w:r>
      <w:r>
        <w:rPr>
          <w:rStyle w:val="iLAWS916SubParagraphCharacter"/>
          <w:rFonts w:eastAsia="Arial"/>
        </w:rPr>
        <w:tab/>
      </w:r>
      <w:r w:rsidR="00A95295">
        <w:rPr>
          <w:rStyle w:val="iLAWS916SubParagraphCharacter"/>
          <w:rFonts w:eastAsia="Arial"/>
        </w:rPr>
        <w:t xml:space="preserve">by repealing paragraph </w:t>
      </w:r>
      <w:r w:rsidR="00A1447F">
        <w:rPr>
          <w:rStyle w:val="iLAWS916SubParagraphCharacter"/>
          <w:rFonts w:eastAsia="Arial"/>
        </w:rPr>
        <w:t>(f)</w:t>
      </w:r>
      <w:r w:rsidR="00A95295">
        <w:rPr>
          <w:rStyle w:val="iLAWS916SubParagraphCharacter"/>
          <w:rFonts w:eastAsia="Arial"/>
        </w:rPr>
        <w:t xml:space="preserve">(x) and replacing it </w:t>
      </w:r>
      <w:r w:rsidR="00DF0D4C">
        <w:rPr>
          <w:rStyle w:val="iLAWS916SubParagraphCharacter"/>
          <w:rFonts w:eastAsia="Arial"/>
        </w:rPr>
        <w:t xml:space="preserve">by </w:t>
      </w:r>
      <w:r w:rsidR="00A95295">
        <w:rPr>
          <w:rStyle w:val="iLAWS916SubParagraphCharacter"/>
          <w:rFonts w:eastAsia="Arial"/>
        </w:rPr>
        <w:t>the following</w:t>
      </w:r>
      <w:r w:rsidR="00A95295" w:rsidRPr="00937073">
        <w:rPr>
          <w:rFonts w:eastAsia="Arial"/>
        </w:rPr>
        <w:t xml:space="preserve"> </w:t>
      </w:r>
      <w:r w:rsidR="00D05C13">
        <w:rPr>
          <w:rFonts w:eastAsia="Arial"/>
        </w:rPr>
        <w:t>paragraph</w:t>
      </w:r>
      <w:r w:rsidR="00A95295" w:rsidRPr="00937073">
        <w:t>—</w:t>
      </w:r>
    </w:p>
    <w:p w14:paraId="0F6DF2D5" w14:textId="72522B94" w:rsidR="00D05C13" w:rsidRDefault="00A95295" w:rsidP="002D0489">
      <w:pPr>
        <w:ind w:left="2160" w:firstLine="0"/>
        <w:rPr>
          <w:rFonts w:eastAsia="Arial"/>
          <w:color w:val="auto"/>
        </w:rPr>
      </w:pPr>
      <w:r>
        <w:rPr>
          <w:rStyle w:val="iLAWS916SubParagraphCharacter"/>
          <w:rFonts w:eastAsia="Arial"/>
        </w:rPr>
        <w:t>“</w:t>
      </w:r>
      <w:r w:rsidRPr="009143FE">
        <w:rPr>
          <w:rFonts w:eastAsia="Arial"/>
          <w:color w:val="auto"/>
        </w:rPr>
        <w:t>(x)</w:t>
      </w:r>
      <w:r w:rsidR="003A2B5B">
        <w:rPr>
          <w:rFonts w:eastAsia="Arial"/>
          <w:color w:val="auto"/>
        </w:rPr>
        <w:tab/>
      </w:r>
      <w:r w:rsidRPr="009143FE">
        <w:rPr>
          <w:rFonts w:eastAsia="Arial"/>
          <w:color w:val="auto"/>
        </w:rPr>
        <w:t>capital requirements</w:t>
      </w:r>
      <w:r>
        <w:rPr>
          <w:rFonts w:eastAsia="Arial"/>
          <w:color w:val="auto"/>
        </w:rPr>
        <w:t xml:space="preserve">, including </w:t>
      </w:r>
      <w:bookmarkStart w:id="96" w:name="_Hlk137758010"/>
      <w:r>
        <w:rPr>
          <w:rFonts w:eastAsia="Arial"/>
          <w:color w:val="auto"/>
        </w:rPr>
        <w:t>the minimum unpaired capital</w:t>
      </w:r>
      <w:bookmarkEnd w:id="96"/>
      <w:r w:rsidR="00E41C20">
        <w:rPr>
          <w:rFonts w:eastAsia="Arial"/>
          <w:color w:val="auto"/>
        </w:rPr>
        <w:t xml:space="preserve"> and ongoing capital requirements</w:t>
      </w:r>
      <w:r w:rsidR="001E3EEF">
        <w:rPr>
          <w:rFonts w:eastAsia="Arial"/>
          <w:color w:val="auto"/>
        </w:rPr>
        <w:t xml:space="preserve">, </w:t>
      </w:r>
      <w:r w:rsidRPr="009143FE">
        <w:rPr>
          <w:rFonts w:eastAsia="Arial"/>
          <w:color w:val="auto"/>
        </w:rPr>
        <w:t>for CIS manager</w:t>
      </w:r>
      <w:r>
        <w:rPr>
          <w:rFonts w:eastAsia="Arial"/>
          <w:color w:val="auto"/>
        </w:rPr>
        <w:t>s, CIS administrators and custodians;</w:t>
      </w:r>
    </w:p>
    <w:p w14:paraId="635106F8" w14:textId="71B68F6A" w:rsidR="008170B4" w:rsidRDefault="008A3D00" w:rsidP="002D0489">
      <w:pPr>
        <w:tabs>
          <w:tab w:val="left" w:pos="1701"/>
        </w:tabs>
        <w:ind w:left="1134" w:firstLine="0"/>
        <w:rPr>
          <w:rFonts w:eastAsia="Arial"/>
          <w:color w:val="auto"/>
        </w:rPr>
      </w:pPr>
      <w:r>
        <w:rPr>
          <w:rFonts w:eastAsia="Arial"/>
          <w:color w:val="auto"/>
        </w:rPr>
        <w:t>(ii)</w:t>
      </w:r>
      <w:r>
        <w:rPr>
          <w:rFonts w:eastAsia="Arial"/>
          <w:color w:val="auto"/>
        </w:rPr>
        <w:tab/>
      </w:r>
      <w:r w:rsidR="0030117E">
        <w:rPr>
          <w:rFonts w:eastAsia="Arial"/>
          <w:color w:val="auto"/>
        </w:rPr>
        <w:t xml:space="preserve">by inserting after </w:t>
      </w:r>
      <w:r w:rsidR="00581597">
        <w:rPr>
          <w:rFonts w:eastAsia="Arial"/>
          <w:color w:val="auto"/>
        </w:rPr>
        <w:t>(x</w:t>
      </w:r>
      <w:r w:rsidR="0030117E">
        <w:rPr>
          <w:rFonts w:eastAsia="Arial"/>
          <w:color w:val="auto"/>
        </w:rPr>
        <w:t>)</w:t>
      </w:r>
      <w:r w:rsidR="00266C91">
        <w:rPr>
          <w:rFonts w:eastAsia="Arial"/>
          <w:color w:val="auto"/>
        </w:rPr>
        <w:t xml:space="preserve"> the following paragraph</w:t>
      </w:r>
      <w:r w:rsidR="00266C91" w:rsidRPr="00937073">
        <w:t>—</w:t>
      </w:r>
    </w:p>
    <w:p w14:paraId="4BB0D919" w14:textId="2FFED1A3" w:rsidR="00E70993" w:rsidRPr="002D0489" w:rsidRDefault="00AB0F1A" w:rsidP="003B4E46">
      <w:pPr>
        <w:ind w:left="1134" w:firstLine="0"/>
        <w:rPr>
          <w:rFonts w:eastAsia="Arial"/>
        </w:rPr>
      </w:pPr>
      <w:r>
        <w:rPr>
          <w:rFonts w:eastAsia="Arial"/>
        </w:rPr>
        <w:t>“</w:t>
      </w:r>
      <w:r w:rsidR="005145ED">
        <w:rPr>
          <w:rFonts w:eastAsia="Arial"/>
        </w:rPr>
        <w:t>(x)</w:t>
      </w:r>
      <w:r w:rsidR="005145ED">
        <w:rPr>
          <w:rFonts w:eastAsia="Arial"/>
        </w:rPr>
        <w:tab/>
        <w:t>capital adequacy rules;</w:t>
      </w:r>
      <w:r w:rsidR="003B4E46">
        <w:rPr>
          <w:rFonts w:eastAsia="Arial"/>
        </w:rPr>
        <w:t>”.</w:t>
      </w:r>
    </w:p>
    <w:p w14:paraId="12AB9553" w14:textId="738FFB31" w:rsidR="00D34EA8" w:rsidRPr="0067067C" w:rsidRDefault="007A7482" w:rsidP="000F1534">
      <w:pPr>
        <w:pStyle w:val="iLAWS300Article"/>
        <w:ind w:left="0" w:firstLine="0"/>
        <w:rPr>
          <w:rFonts w:ascii="Arial" w:eastAsia="Arial" w:hAnsi="Arial" w:cs="Arial"/>
        </w:rPr>
      </w:pPr>
      <w:bookmarkStart w:id="97" w:name="_Toc151283307"/>
      <w:r>
        <w:rPr>
          <w:rFonts w:ascii="Arial" w:eastAsia="Calibri" w:hAnsi="Arial" w:cs="Arial"/>
        </w:rPr>
        <w:t>40</w:t>
      </w:r>
      <w:r w:rsidR="00D34EA8" w:rsidRPr="0067067C">
        <w:rPr>
          <w:rFonts w:ascii="Arial" w:eastAsia="Arial" w:hAnsi="Arial" w:cs="Arial"/>
        </w:rPr>
        <w:tab/>
        <w:t>Section 155 of the principal Act amended</w:t>
      </w:r>
      <w:bookmarkEnd w:id="97"/>
    </w:p>
    <w:p w14:paraId="192E5397" w14:textId="03A8CC6C" w:rsidR="005C668A" w:rsidRPr="00937073" w:rsidRDefault="00856885" w:rsidP="0067067C">
      <w:pPr>
        <w:tabs>
          <w:tab w:val="left" w:pos="1134"/>
        </w:tabs>
        <w:spacing w:before="240" w:after="120" w:line="247" w:lineRule="auto"/>
        <w:ind w:left="567" w:right="1168" w:firstLine="0"/>
        <w:rPr>
          <w:rFonts w:eastAsia="Arial"/>
        </w:rPr>
      </w:pPr>
      <w:r w:rsidRPr="00937073">
        <w:rPr>
          <w:rFonts w:eastAsia="Arial"/>
        </w:rPr>
        <w:t xml:space="preserve">Section 155 of the principal </w:t>
      </w:r>
      <w:r w:rsidR="007E507A" w:rsidRPr="00937073">
        <w:rPr>
          <w:rFonts w:eastAsia="Arial"/>
        </w:rPr>
        <w:t>A</w:t>
      </w:r>
      <w:r w:rsidRPr="00937073">
        <w:rPr>
          <w:rFonts w:eastAsia="Arial"/>
        </w:rPr>
        <w:t xml:space="preserve">ct is amended </w:t>
      </w:r>
      <w:r w:rsidR="000064C4" w:rsidRPr="00937073">
        <w:rPr>
          <w:rFonts w:eastAsia="Arial"/>
        </w:rPr>
        <w:t>in subsection (2)</w:t>
      </w:r>
      <w:bookmarkStart w:id="98" w:name="_Hlk136205744"/>
      <w:r w:rsidR="007948A1" w:rsidRPr="00937073">
        <w:t>—</w:t>
      </w:r>
      <w:bookmarkEnd w:id="98"/>
    </w:p>
    <w:p w14:paraId="02BEFE15" w14:textId="71DD4C33" w:rsidR="005D1477" w:rsidRDefault="00FE0B92" w:rsidP="0067067C">
      <w:pPr>
        <w:tabs>
          <w:tab w:val="left" w:pos="1134"/>
        </w:tabs>
        <w:ind w:left="567" w:firstLine="0"/>
        <w:rPr>
          <w:rFonts w:eastAsia="Arial"/>
        </w:rPr>
      </w:pPr>
      <w:r w:rsidRPr="00937073">
        <w:rPr>
          <w:rFonts w:eastAsia="Arial"/>
        </w:rPr>
        <w:t>(a)</w:t>
      </w:r>
      <w:r w:rsidRPr="00937073">
        <w:rPr>
          <w:rFonts w:eastAsia="Arial"/>
        </w:rPr>
        <w:tab/>
      </w:r>
      <w:r w:rsidR="005D1477">
        <w:rPr>
          <w:rFonts w:eastAsia="Arial"/>
        </w:rPr>
        <w:t>by inserting after paragraph (k) the following paragraph</w:t>
      </w:r>
      <w:r w:rsidR="005D1477" w:rsidRPr="00937073">
        <w:t>—</w:t>
      </w:r>
    </w:p>
    <w:p w14:paraId="6BF073F7" w14:textId="694C7BFF" w:rsidR="00483064" w:rsidRPr="00483064" w:rsidRDefault="00483064" w:rsidP="00CF2142">
      <w:pPr>
        <w:ind w:left="1701" w:right="819" w:hanging="567"/>
      </w:pPr>
      <w:r w:rsidRPr="00483064">
        <w:t>(ka)</w:t>
      </w:r>
      <w:r w:rsidRPr="00483064">
        <w:tab/>
        <w:t>administrative process for the determination of an application for a licence including the grant, renewal or refusal of a licence;</w:t>
      </w:r>
    </w:p>
    <w:p w14:paraId="05362FFC" w14:textId="51C1290D" w:rsidR="00BA6AFD" w:rsidRPr="00937073" w:rsidRDefault="005D1477" w:rsidP="0067067C">
      <w:pPr>
        <w:tabs>
          <w:tab w:val="left" w:pos="1134"/>
        </w:tabs>
        <w:ind w:left="567" w:firstLine="0"/>
        <w:rPr>
          <w:rFonts w:eastAsia="Arial"/>
        </w:rPr>
      </w:pPr>
      <w:r>
        <w:rPr>
          <w:rFonts w:eastAsia="Arial"/>
        </w:rPr>
        <w:t>(b)</w:t>
      </w:r>
      <w:r>
        <w:rPr>
          <w:rFonts w:eastAsia="Arial"/>
        </w:rPr>
        <w:tab/>
      </w:r>
      <w:r w:rsidR="00BA6AFD" w:rsidRPr="00937073">
        <w:rPr>
          <w:rFonts w:eastAsia="Arial"/>
        </w:rPr>
        <w:t>b</w:t>
      </w:r>
      <w:r w:rsidR="00C476B9" w:rsidRPr="00937073">
        <w:rPr>
          <w:rFonts w:eastAsia="Arial"/>
        </w:rPr>
        <w:t xml:space="preserve">y inserting </w:t>
      </w:r>
      <w:r w:rsidR="00BA6AFD" w:rsidRPr="00937073">
        <w:rPr>
          <w:rFonts w:eastAsia="Arial"/>
        </w:rPr>
        <w:t>after paragraph (n) the following paragraph</w:t>
      </w:r>
      <w:r w:rsidR="00C36897">
        <w:rPr>
          <w:rFonts w:eastAsia="Arial"/>
        </w:rPr>
        <w:t>s</w:t>
      </w:r>
      <w:r w:rsidR="00937073" w:rsidRPr="00937073">
        <w:t>—</w:t>
      </w:r>
    </w:p>
    <w:p w14:paraId="2227A23F" w14:textId="08AED1CD" w:rsidR="00902352" w:rsidRDefault="005C729D" w:rsidP="00C36897">
      <w:pPr>
        <w:ind w:left="1560" w:right="819" w:hanging="426"/>
      </w:pPr>
      <w:r w:rsidRPr="00937073">
        <w:rPr>
          <w:rFonts w:eastAsia="Arial"/>
        </w:rPr>
        <w:t>“(na)</w:t>
      </w:r>
      <w:r w:rsidRPr="00937073">
        <w:rPr>
          <w:rFonts w:eastAsia="Arial"/>
        </w:rPr>
        <w:tab/>
      </w:r>
      <w:r w:rsidRPr="00937073">
        <w:t xml:space="preserve">the valuation and pricing and redemptions of units in a collective investment </w:t>
      </w:r>
      <w:r w:rsidR="002E6F57">
        <w:t>s</w:t>
      </w:r>
      <w:r w:rsidRPr="00937073">
        <w:t>cheme;</w:t>
      </w:r>
      <w:r w:rsidR="00C36897" w:rsidRPr="00C36897">
        <w:t xml:space="preserve"> </w:t>
      </w:r>
    </w:p>
    <w:p w14:paraId="56024258" w14:textId="2019EF6D" w:rsidR="00922E8C" w:rsidRDefault="00C36897" w:rsidP="00C36897">
      <w:pPr>
        <w:ind w:left="1560" w:right="819" w:hanging="426"/>
      </w:pPr>
      <w:r>
        <w:t>(nb)</w:t>
      </w:r>
      <w:r>
        <w:tab/>
      </w:r>
      <w:r w:rsidR="00922E8C">
        <w:t xml:space="preserve"> the declaration of</w:t>
      </w:r>
      <w:r w:rsidR="003F16CD">
        <w:t>,</w:t>
      </w:r>
      <w:r w:rsidR="00922E8C">
        <w:t xml:space="preserve"> and requiremen</w:t>
      </w:r>
      <w:r w:rsidR="00721A5B">
        <w:t>ts for</w:t>
      </w:r>
      <w:r w:rsidR="003F16CD">
        <w:t>,</w:t>
      </w:r>
      <w:r w:rsidR="00721A5B">
        <w:t xml:space="preserve"> green funds;</w:t>
      </w:r>
    </w:p>
    <w:p w14:paraId="58168363" w14:textId="3B3B52D6" w:rsidR="00C36897" w:rsidRDefault="00721A5B" w:rsidP="00C36897">
      <w:pPr>
        <w:ind w:left="1560" w:right="819" w:hanging="426"/>
      </w:pPr>
      <w:r>
        <w:t>(nc)</w:t>
      </w:r>
      <w:r>
        <w:tab/>
      </w:r>
      <w:r w:rsidR="00C36897" w:rsidRPr="00C36897">
        <w:t>the operational and conduct requirements for CIS managers; including requirements relating to the marketing of collective investment schemes to professional investors or retail investors, or both;</w:t>
      </w:r>
    </w:p>
    <w:p w14:paraId="5C9FDDB8" w14:textId="4D2FF650" w:rsidR="007462C4" w:rsidRPr="007462C4" w:rsidRDefault="004C3EE2" w:rsidP="007462C4">
      <w:pPr>
        <w:ind w:left="1560" w:right="819" w:hanging="426"/>
      </w:pPr>
      <w:r>
        <w:t>(</w:t>
      </w:r>
      <w:r w:rsidR="00721A5B">
        <w:t>nd</w:t>
      </w:r>
      <w:r>
        <w:t>)</w:t>
      </w:r>
      <w:r>
        <w:tab/>
        <w:t xml:space="preserve">the </w:t>
      </w:r>
      <w:r w:rsidR="007462C4" w:rsidRPr="007462C4">
        <w:t>legal form and structure of collective investment schemes;</w:t>
      </w:r>
    </w:p>
    <w:p w14:paraId="1E5C1451" w14:textId="77777777" w:rsidR="009E4BB1" w:rsidRDefault="007462C4" w:rsidP="00F638DB">
      <w:pPr>
        <w:ind w:left="1560" w:right="819" w:hanging="426"/>
      </w:pPr>
      <w:r w:rsidRPr="007462C4">
        <w:t>(</w:t>
      </w:r>
      <w:r>
        <w:t>n</w:t>
      </w:r>
      <w:r w:rsidR="00721A5B">
        <w:t>e</w:t>
      </w:r>
      <w:r w:rsidRPr="007462C4">
        <w:t>)</w:t>
      </w:r>
      <w:r w:rsidRPr="007462C4">
        <w:tab/>
        <w:t>the segregation and protection of client assets in a</w:t>
      </w:r>
      <w:r w:rsidR="0099016C">
        <w:t xml:space="preserve"> </w:t>
      </w:r>
      <w:r w:rsidRPr="007462C4">
        <w:t>collective investment scheme</w:t>
      </w:r>
      <w:r w:rsidR="009E4BB1">
        <w:t xml:space="preserve">; </w:t>
      </w:r>
    </w:p>
    <w:p w14:paraId="5FADB74A" w14:textId="49963E25" w:rsidR="005C729D" w:rsidRPr="00937073" w:rsidRDefault="009E4BB1" w:rsidP="00F638DB">
      <w:pPr>
        <w:ind w:left="1560" w:right="819" w:hanging="426"/>
      </w:pPr>
      <w:r>
        <w:t>(nf)</w:t>
      </w:r>
      <w:r>
        <w:tab/>
        <w:t>consumer duty</w:t>
      </w:r>
      <w:r w:rsidR="00FE0B92" w:rsidRPr="00937073">
        <w:t>”</w:t>
      </w:r>
      <w:r w:rsidR="00440012" w:rsidRPr="00937073">
        <w:t>;</w:t>
      </w:r>
    </w:p>
    <w:p w14:paraId="4F8C4C0E" w14:textId="7A50C08B" w:rsidR="00440012" w:rsidRPr="00937073" w:rsidRDefault="00FE0B92" w:rsidP="0067067C">
      <w:pPr>
        <w:tabs>
          <w:tab w:val="left" w:pos="1134"/>
        </w:tabs>
        <w:spacing w:after="120"/>
        <w:ind w:left="1134" w:right="819" w:hanging="567"/>
      </w:pPr>
      <w:r w:rsidRPr="00937073">
        <w:t>(</w:t>
      </w:r>
      <w:r w:rsidR="005D1477">
        <w:t>c</w:t>
      </w:r>
      <w:r w:rsidRPr="00937073">
        <w:t>)</w:t>
      </w:r>
      <w:r w:rsidRPr="00937073">
        <w:tab/>
        <w:t>b</w:t>
      </w:r>
      <w:r w:rsidR="00440012" w:rsidRPr="00937073">
        <w:t xml:space="preserve">y inserting after paragraph (s) the following </w:t>
      </w:r>
      <w:r w:rsidR="00D642B8" w:rsidRPr="00937073">
        <w:t>paragraph</w:t>
      </w:r>
      <w:r w:rsidR="00E70993" w:rsidRPr="00937073">
        <w:t>—</w:t>
      </w:r>
    </w:p>
    <w:p w14:paraId="65E1A92D" w14:textId="4EA791E0" w:rsidR="00BD2E39" w:rsidRPr="00A95295" w:rsidRDefault="00FE0B92" w:rsidP="00D04A3A">
      <w:pPr>
        <w:tabs>
          <w:tab w:val="left" w:pos="1134"/>
          <w:tab w:val="left" w:pos="1701"/>
        </w:tabs>
        <w:ind w:left="1134" w:firstLine="0"/>
        <w:rPr>
          <w:rFonts w:eastAsia="Arial"/>
        </w:rPr>
      </w:pPr>
      <w:r w:rsidRPr="00937073">
        <w:rPr>
          <w:rFonts w:eastAsia="Arial"/>
        </w:rPr>
        <w:t>“</w:t>
      </w:r>
      <w:r w:rsidR="00D642B8" w:rsidRPr="00937073">
        <w:rPr>
          <w:rFonts w:eastAsia="Arial"/>
        </w:rPr>
        <w:t>(sa)</w:t>
      </w:r>
      <w:r w:rsidR="00D04A3A">
        <w:rPr>
          <w:rFonts w:eastAsia="Arial"/>
        </w:rPr>
        <w:tab/>
      </w:r>
      <w:r w:rsidRPr="00937073">
        <w:rPr>
          <w:rFonts w:eastAsia="Arial"/>
        </w:rPr>
        <w:t>deregistration of a prospectus</w:t>
      </w:r>
      <w:r w:rsidR="000831D6">
        <w:rPr>
          <w:rFonts w:eastAsia="Arial"/>
        </w:rPr>
        <w:t>.</w:t>
      </w:r>
      <w:r w:rsidR="002E6F57">
        <w:rPr>
          <w:rFonts w:eastAsia="Arial"/>
        </w:rPr>
        <w:t>”.</w:t>
      </w:r>
    </w:p>
    <w:p w14:paraId="4DA8848F" w14:textId="43AB2562" w:rsidR="004805FB" w:rsidRPr="0067067C" w:rsidRDefault="0066709D" w:rsidP="0067067C">
      <w:pPr>
        <w:pStyle w:val="iLAWS300Article"/>
        <w:rPr>
          <w:rFonts w:ascii="Arial" w:eastAsia="Arial" w:hAnsi="Arial" w:cs="Arial"/>
        </w:rPr>
      </w:pPr>
      <w:bookmarkStart w:id="99" w:name="_Toc136474878"/>
      <w:bookmarkStart w:id="100" w:name="_Toc151283308"/>
      <w:r>
        <w:rPr>
          <w:rFonts w:ascii="Arial" w:eastAsia="Arial" w:hAnsi="Arial" w:cs="Arial"/>
        </w:rPr>
        <w:t>4</w:t>
      </w:r>
      <w:r w:rsidR="007A7482">
        <w:rPr>
          <w:rFonts w:ascii="Arial" w:eastAsia="Arial" w:hAnsi="Arial" w:cs="Arial"/>
        </w:rPr>
        <w:t>1</w:t>
      </w:r>
      <w:r w:rsidR="004805FB" w:rsidRPr="0067067C">
        <w:rPr>
          <w:rFonts w:ascii="Arial" w:eastAsia="Arial" w:hAnsi="Arial" w:cs="Arial"/>
        </w:rPr>
        <w:tab/>
        <w:t>Commencement</w:t>
      </w:r>
      <w:bookmarkEnd w:id="99"/>
      <w:bookmarkEnd w:id="100"/>
    </w:p>
    <w:p w14:paraId="2F1DBEC1" w14:textId="0225E879" w:rsidR="00F066FC" w:rsidRPr="0067067C" w:rsidRDefault="00F066FC" w:rsidP="003A447B">
      <w:pPr>
        <w:ind w:left="1134" w:hanging="567"/>
        <w:rPr>
          <w:rFonts w:eastAsia="Arial"/>
        </w:rPr>
      </w:pPr>
      <w:bookmarkStart w:id="101" w:name="_Toc136474879"/>
      <w:r w:rsidRPr="00F066FC">
        <w:rPr>
          <w:rFonts w:ascii="Arial" w:eastAsia="Arial" w:hAnsi="Arial" w:cs="Arial"/>
        </w:rPr>
        <w:t>(</w:t>
      </w:r>
      <w:r w:rsidRPr="0067067C">
        <w:rPr>
          <w:rFonts w:eastAsia="Arial"/>
        </w:rPr>
        <w:t>1)</w:t>
      </w:r>
      <w:r w:rsidRPr="0067067C">
        <w:rPr>
          <w:rFonts w:eastAsia="Arial"/>
        </w:rPr>
        <w:tab/>
        <w:t>Subject to subsection (2), this Act shall come into operation on a date to be fixed by Proclamation.</w:t>
      </w:r>
      <w:bookmarkEnd w:id="101"/>
    </w:p>
    <w:p w14:paraId="5D8A7924" w14:textId="63BA0138" w:rsidR="004805FB" w:rsidRPr="0067067C" w:rsidRDefault="00F066FC" w:rsidP="00CE2E70">
      <w:pPr>
        <w:tabs>
          <w:tab w:val="left" w:pos="1701"/>
          <w:tab w:val="left" w:pos="1843"/>
        </w:tabs>
        <w:ind w:left="1134" w:hanging="567"/>
        <w:rPr>
          <w:rFonts w:eastAsia="Arial"/>
        </w:rPr>
      </w:pPr>
      <w:bookmarkStart w:id="102" w:name="_Toc136474880"/>
      <w:r w:rsidRPr="0067067C">
        <w:rPr>
          <w:rFonts w:eastAsia="Arial"/>
        </w:rPr>
        <w:t>(2)</w:t>
      </w:r>
      <w:r w:rsidRPr="0067067C">
        <w:rPr>
          <w:rFonts w:eastAsia="Arial"/>
        </w:rPr>
        <w:tab/>
        <w:t>Different dates may be f</w:t>
      </w:r>
      <w:r w:rsidR="008B0DE7">
        <w:rPr>
          <w:rFonts w:eastAsia="Arial"/>
        </w:rPr>
        <w:t>i</w:t>
      </w:r>
      <w:r w:rsidRPr="0067067C">
        <w:rPr>
          <w:rFonts w:eastAsia="Arial"/>
        </w:rPr>
        <w:t>xed for the coming into operation of different provisions of this Act.</w:t>
      </w:r>
      <w:bookmarkEnd w:id="102"/>
    </w:p>
    <w:tbl>
      <w:tblPr>
        <w:tblStyle w:val="table"/>
        <w:tblW w:w="5000" w:type="pct"/>
        <w:tblInd w:w="20" w:type="dxa"/>
        <w:tblCellMar>
          <w:top w:w="15" w:type="dxa"/>
          <w:left w:w="15" w:type="dxa"/>
          <w:bottom w:w="15" w:type="dxa"/>
          <w:right w:w="15" w:type="dxa"/>
        </w:tblCellMar>
        <w:tblLook w:val="05E0" w:firstRow="1" w:lastRow="1" w:firstColumn="1" w:lastColumn="1" w:noHBand="0" w:noVBand="1"/>
      </w:tblPr>
      <w:tblGrid>
        <w:gridCol w:w="9632"/>
      </w:tblGrid>
      <w:tr w:rsidR="00D42A50" w:rsidRPr="00A2553D" w14:paraId="277B7342" w14:textId="77777777" w:rsidTr="00290FDA">
        <w:tc>
          <w:tcPr>
            <w:tcW w:w="0" w:type="auto"/>
            <w:tcMar>
              <w:top w:w="149" w:type="dxa"/>
              <w:left w:w="20" w:type="dxa"/>
              <w:bottom w:w="5" w:type="dxa"/>
              <w:right w:w="20" w:type="dxa"/>
            </w:tcMar>
          </w:tcPr>
          <w:p w14:paraId="43E79CE9" w14:textId="48DBEF40" w:rsidR="00D42A50" w:rsidRPr="00A2553D" w:rsidRDefault="00D42A50" w:rsidP="00A148D3">
            <w:pPr>
              <w:spacing w:after="0" w:line="240" w:lineRule="auto"/>
              <w:ind w:left="0" w:right="0" w:firstLine="288"/>
              <w:rPr>
                <w:sz w:val="22"/>
                <w:szCs w:val="22"/>
              </w:rPr>
            </w:pPr>
          </w:p>
        </w:tc>
      </w:tr>
    </w:tbl>
    <w:p w14:paraId="583E4C77" w14:textId="2D24C2A8" w:rsidR="00D92462" w:rsidRPr="00A2553D" w:rsidRDefault="00D92462" w:rsidP="009E5B58">
      <w:pPr>
        <w:spacing w:after="0" w:line="259" w:lineRule="auto"/>
        <w:ind w:left="706" w:right="0" w:firstLine="0"/>
        <w:jc w:val="left"/>
      </w:pPr>
    </w:p>
    <w:sectPr w:rsidR="00D92462" w:rsidRPr="00A2553D">
      <w:footerReference w:type="default" r:id="rId8"/>
      <w:pgSz w:w="11906" w:h="16841"/>
      <w:pgMar w:top="1135" w:right="1554" w:bottom="11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2049" w14:textId="77777777" w:rsidR="00225ACB" w:rsidRDefault="00225ACB" w:rsidP="00BE1274">
      <w:pPr>
        <w:spacing w:after="0" w:line="240" w:lineRule="auto"/>
      </w:pPr>
      <w:r>
        <w:separator/>
      </w:r>
    </w:p>
  </w:endnote>
  <w:endnote w:type="continuationSeparator" w:id="0">
    <w:p w14:paraId="1213C519" w14:textId="77777777" w:rsidR="00225ACB" w:rsidRDefault="00225ACB" w:rsidP="00BE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695"/>
      <w:docPartObj>
        <w:docPartGallery w:val="Page Numbers (Bottom of Page)"/>
        <w:docPartUnique/>
      </w:docPartObj>
    </w:sdtPr>
    <w:sdtEndPr>
      <w:rPr>
        <w:noProof/>
      </w:rPr>
    </w:sdtEndPr>
    <w:sdtContent>
      <w:p w14:paraId="24D24162" w14:textId="511ECEC4" w:rsidR="000B7557" w:rsidRDefault="000B75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6DED0A" w14:textId="77777777" w:rsidR="000B7557" w:rsidRDefault="000B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A3C6" w14:textId="77777777" w:rsidR="00225ACB" w:rsidRDefault="00225ACB" w:rsidP="00BE1274">
      <w:pPr>
        <w:spacing w:after="0" w:line="240" w:lineRule="auto"/>
      </w:pPr>
      <w:r>
        <w:separator/>
      </w:r>
    </w:p>
  </w:footnote>
  <w:footnote w:type="continuationSeparator" w:id="0">
    <w:p w14:paraId="09236435" w14:textId="77777777" w:rsidR="00225ACB" w:rsidRDefault="00225ACB" w:rsidP="00BE1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15"/>
    <w:multiLevelType w:val="hybridMultilevel"/>
    <w:tmpl w:val="69E279F6"/>
    <w:lvl w:ilvl="0" w:tplc="46405EE8">
      <w:start w:val="1"/>
      <w:numFmt w:val="decimal"/>
      <w:lvlText w:val="(%1)"/>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305E22">
      <w:start w:val="1"/>
      <w:numFmt w:val="lowerLetter"/>
      <w:lvlText w:val="(%2)"/>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847BD8">
      <w:start w:val="1"/>
      <w:numFmt w:val="lowerRoman"/>
      <w:lvlText w:val="%3"/>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2874B8">
      <w:start w:val="1"/>
      <w:numFmt w:val="decimal"/>
      <w:lvlText w:val="%4"/>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D46FCA">
      <w:start w:val="1"/>
      <w:numFmt w:val="lowerLetter"/>
      <w:lvlText w:val="%5"/>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CE0866">
      <w:start w:val="1"/>
      <w:numFmt w:val="lowerRoman"/>
      <w:lvlText w:val="%6"/>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F0468C">
      <w:start w:val="1"/>
      <w:numFmt w:val="decimal"/>
      <w:lvlText w:val="%7"/>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024E8">
      <w:start w:val="1"/>
      <w:numFmt w:val="lowerLetter"/>
      <w:lvlText w:val="%8"/>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CC5BEE">
      <w:start w:val="1"/>
      <w:numFmt w:val="lowerRoman"/>
      <w:lvlText w:val="%9"/>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D95C62"/>
    <w:multiLevelType w:val="hybridMultilevel"/>
    <w:tmpl w:val="DAF6AFA4"/>
    <w:lvl w:ilvl="0" w:tplc="B916F13A">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252BBF"/>
    <w:multiLevelType w:val="hybridMultilevel"/>
    <w:tmpl w:val="FCA60E70"/>
    <w:lvl w:ilvl="0" w:tplc="49F221E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61B27"/>
    <w:multiLevelType w:val="hybridMultilevel"/>
    <w:tmpl w:val="ABB03286"/>
    <w:lvl w:ilvl="0" w:tplc="1E3ADC0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AFF833FC">
      <w:start w:val="1"/>
      <w:numFmt w:val="lowerRoman"/>
      <w:lvlText w:val="(%4)"/>
      <w:lvlJc w:val="left"/>
      <w:pPr>
        <w:ind w:left="2880" w:hanging="360"/>
      </w:pPr>
      <w:rPr>
        <w:rFonts w:ascii="Times New Roman" w:eastAsia="Calibri" w:hAnsi="Times New Roman" w:cs="Times New Roman"/>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12180"/>
    <w:multiLevelType w:val="hybridMultilevel"/>
    <w:tmpl w:val="B65696AA"/>
    <w:lvl w:ilvl="0" w:tplc="90D6F912">
      <w:start w:val="1"/>
      <w:numFmt w:val="decimal"/>
      <w:lvlText w:val="(%1)"/>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1650A2">
      <w:start w:val="1"/>
      <w:numFmt w:val="lowerLetter"/>
      <w:lvlText w:val="(%2)"/>
      <w:lvlJc w:val="left"/>
      <w:pPr>
        <w:ind w:left="1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F8AB24">
      <w:start w:val="1"/>
      <w:numFmt w:val="lowerRoman"/>
      <w:lvlText w:val="%3"/>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E43ABC">
      <w:start w:val="1"/>
      <w:numFmt w:val="decimal"/>
      <w:lvlText w:val="%4"/>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8ED188">
      <w:start w:val="1"/>
      <w:numFmt w:val="lowerLetter"/>
      <w:lvlText w:val="%5"/>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BA92E6">
      <w:start w:val="1"/>
      <w:numFmt w:val="lowerRoman"/>
      <w:lvlText w:val="%6"/>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50DD94">
      <w:start w:val="1"/>
      <w:numFmt w:val="decimal"/>
      <w:lvlText w:val="%7"/>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402E60">
      <w:start w:val="1"/>
      <w:numFmt w:val="lowerLetter"/>
      <w:lvlText w:val="%8"/>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58DF34">
      <w:start w:val="1"/>
      <w:numFmt w:val="lowerRoman"/>
      <w:lvlText w:val="%9"/>
      <w:lvlJc w:val="left"/>
      <w:pPr>
        <w:ind w:left="5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AA3328"/>
    <w:multiLevelType w:val="hybridMultilevel"/>
    <w:tmpl w:val="611CFEFA"/>
    <w:lvl w:ilvl="0" w:tplc="70E20DE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CF52582"/>
    <w:multiLevelType w:val="hybridMultilevel"/>
    <w:tmpl w:val="A08C9482"/>
    <w:lvl w:ilvl="0" w:tplc="70E20DE0">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00A5862"/>
    <w:multiLevelType w:val="hybridMultilevel"/>
    <w:tmpl w:val="23ACD336"/>
    <w:lvl w:ilvl="0" w:tplc="D76490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22C3D42"/>
    <w:multiLevelType w:val="hybridMultilevel"/>
    <w:tmpl w:val="D70446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70E20DE0">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065544"/>
    <w:multiLevelType w:val="multilevel"/>
    <w:tmpl w:val="BFE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A83FB2"/>
    <w:multiLevelType w:val="hybridMultilevel"/>
    <w:tmpl w:val="996C446A"/>
    <w:lvl w:ilvl="0" w:tplc="F1BECD1A">
      <w:start w:val="2"/>
      <w:numFmt w:val="decimal"/>
      <w:lvlText w:val="(%1)"/>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DC2C42">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ABBE6">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D67284">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849E4A">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4C040">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5AE03E">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5EFCD2">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D25684">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5E6587"/>
    <w:multiLevelType w:val="hybridMultilevel"/>
    <w:tmpl w:val="A6D8371A"/>
    <w:lvl w:ilvl="0" w:tplc="CFE876DE">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E9B3568"/>
    <w:multiLevelType w:val="hybridMultilevel"/>
    <w:tmpl w:val="8376ACE2"/>
    <w:lvl w:ilvl="0" w:tplc="1E3ADC08">
      <w:start w:val="1"/>
      <w:numFmt w:val="lowerLetter"/>
      <w:lvlText w:val="(%1)"/>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8F410D"/>
    <w:multiLevelType w:val="hybridMultilevel"/>
    <w:tmpl w:val="B6D246B6"/>
    <w:lvl w:ilvl="0" w:tplc="43EE6C32">
      <w:start w:val="1"/>
      <w:numFmt w:val="decimal"/>
      <w:lvlText w:val="(%1)"/>
      <w:lvlJc w:val="left"/>
      <w:pPr>
        <w:ind w:left="1137" w:hanging="570"/>
      </w:pPr>
      <w:rPr>
        <w:rFonts w:ascii="Times New Roman" w:hAnsi="Times New Roman" w:cs="Times New Roman"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2651423"/>
    <w:multiLevelType w:val="hybridMultilevel"/>
    <w:tmpl w:val="FFA85F2A"/>
    <w:lvl w:ilvl="0" w:tplc="7D7C8872">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5" w15:restartNumberingAfterBreak="0">
    <w:nsid w:val="33AC1A19"/>
    <w:multiLevelType w:val="hybridMultilevel"/>
    <w:tmpl w:val="35D6AB7A"/>
    <w:lvl w:ilvl="0" w:tplc="F940B42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537A4694"/>
    <w:multiLevelType w:val="hybridMultilevel"/>
    <w:tmpl w:val="E8C0B51A"/>
    <w:lvl w:ilvl="0" w:tplc="6616B5A0">
      <w:start w:val="1"/>
      <w:numFmt w:val="decimal"/>
      <w:lvlText w:val="(%1)"/>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6EC1BE">
      <w:start w:val="1"/>
      <w:numFmt w:val="lowerLetter"/>
      <w:lvlText w:val="(%2)"/>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06512A">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AC022C">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16CA2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62FFB8">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AAB90">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21DB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E8891E">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1F4CD3"/>
    <w:multiLevelType w:val="hybridMultilevel"/>
    <w:tmpl w:val="F738C26A"/>
    <w:lvl w:ilvl="0" w:tplc="70E20D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119DE"/>
    <w:multiLevelType w:val="multilevel"/>
    <w:tmpl w:val="233A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B972AE"/>
    <w:multiLevelType w:val="hybridMultilevel"/>
    <w:tmpl w:val="A4141782"/>
    <w:lvl w:ilvl="0" w:tplc="5B98533E">
      <w:start w:val="1"/>
      <w:numFmt w:val="decimal"/>
      <w:lvlText w:val="(%1)"/>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38C214">
      <w:start w:val="1"/>
      <w:numFmt w:val="lowerLetter"/>
      <w:lvlText w:val="(%2)"/>
      <w:lvlJc w:val="left"/>
      <w:pPr>
        <w:ind w:left="2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DCB648">
      <w:start w:val="1"/>
      <w:numFmt w:val="lowerRoman"/>
      <w:lvlText w:val="%3"/>
      <w:lvlJc w:val="left"/>
      <w:pPr>
        <w:ind w:left="1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CFCFC">
      <w:start w:val="1"/>
      <w:numFmt w:val="decimal"/>
      <w:lvlText w:val="%4"/>
      <w:lvlJc w:val="left"/>
      <w:pPr>
        <w:ind w:left="2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48DDC">
      <w:start w:val="1"/>
      <w:numFmt w:val="lowerLetter"/>
      <w:lvlText w:val="%5"/>
      <w:lvlJc w:val="left"/>
      <w:pPr>
        <w:ind w:left="3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90055A">
      <w:start w:val="1"/>
      <w:numFmt w:val="lowerRoman"/>
      <w:lvlText w:val="%6"/>
      <w:lvlJc w:val="left"/>
      <w:pPr>
        <w:ind w:left="3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8E2E46">
      <w:start w:val="1"/>
      <w:numFmt w:val="decimal"/>
      <w:lvlText w:val="%7"/>
      <w:lvlJc w:val="left"/>
      <w:pPr>
        <w:ind w:left="4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040072">
      <w:start w:val="1"/>
      <w:numFmt w:val="lowerLetter"/>
      <w:lvlText w:val="%8"/>
      <w:lvlJc w:val="left"/>
      <w:pPr>
        <w:ind w:left="5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00C880">
      <w:start w:val="1"/>
      <w:numFmt w:val="lowerRoman"/>
      <w:lvlText w:val="%9"/>
      <w:lvlJc w:val="left"/>
      <w:pPr>
        <w:ind w:left="6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4F6162"/>
    <w:multiLevelType w:val="hybridMultilevel"/>
    <w:tmpl w:val="CA689E46"/>
    <w:lvl w:ilvl="0" w:tplc="032ADEC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6604051"/>
    <w:multiLevelType w:val="hybridMultilevel"/>
    <w:tmpl w:val="3B8821F6"/>
    <w:lvl w:ilvl="0" w:tplc="5E16CA0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6E852C6F"/>
    <w:multiLevelType w:val="hybridMultilevel"/>
    <w:tmpl w:val="12A2177E"/>
    <w:lvl w:ilvl="0" w:tplc="C2B2AA40">
      <w:start w:val="1"/>
      <w:numFmt w:val="lowerLetter"/>
      <w:lvlText w:val="(%1)"/>
      <w:lvlJc w:val="left"/>
      <w:pPr>
        <w:ind w:left="1435" w:hanging="360"/>
      </w:pPr>
      <w:rPr>
        <w:rFonts w:ascii="Times New Roman" w:eastAsia="Times New Roman" w:hAnsi="Times New Roman" w:cs="Times New Roman"/>
      </w:rPr>
    </w:lvl>
    <w:lvl w:ilvl="1" w:tplc="08090019" w:tentative="1">
      <w:start w:val="1"/>
      <w:numFmt w:val="lowerLetter"/>
      <w:lvlText w:val="%2."/>
      <w:lvlJc w:val="left"/>
      <w:pPr>
        <w:ind w:left="2155" w:hanging="360"/>
      </w:pPr>
    </w:lvl>
    <w:lvl w:ilvl="2" w:tplc="0809001B" w:tentative="1">
      <w:start w:val="1"/>
      <w:numFmt w:val="lowerRoman"/>
      <w:lvlText w:val="%3."/>
      <w:lvlJc w:val="right"/>
      <w:pPr>
        <w:ind w:left="2875" w:hanging="180"/>
      </w:pPr>
    </w:lvl>
    <w:lvl w:ilvl="3" w:tplc="0809000F" w:tentative="1">
      <w:start w:val="1"/>
      <w:numFmt w:val="decimal"/>
      <w:lvlText w:val="%4."/>
      <w:lvlJc w:val="left"/>
      <w:pPr>
        <w:ind w:left="3595" w:hanging="360"/>
      </w:pPr>
    </w:lvl>
    <w:lvl w:ilvl="4" w:tplc="08090019" w:tentative="1">
      <w:start w:val="1"/>
      <w:numFmt w:val="lowerLetter"/>
      <w:lvlText w:val="%5."/>
      <w:lvlJc w:val="left"/>
      <w:pPr>
        <w:ind w:left="4315" w:hanging="360"/>
      </w:pPr>
    </w:lvl>
    <w:lvl w:ilvl="5" w:tplc="0809001B" w:tentative="1">
      <w:start w:val="1"/>
      <w:numFmt w:val="lowerRoman"/>
      <w:lvlText w:val="%6."/>
      <w:lvlJc w:val="right"/>
      <w:pPr>
        <w:ind w:left="5035" w:hanging="180"/>
      </w:pPr>
    </w:lvl>
    <w:lvl w:ilvl="6" w:tplc="0809000F" w:tentative="1">
      <w:start w:val="1"/>
      <w:numFmt w:val="decimal"/>
      <w:lvlText w:val="%7."/>
      <w:lvlJc w:val="left"/>
      <w:pPr>
        <w:ind w:left="5755" w:hanging="360"/>
      </w:pPr>
    </w:lvl>
    <w:lvl w:ilvl="7" w:tplc="08090019" w:tentative="1">
      <w:start w:val="1"/>
      <w:numFmt w:val="lowerLetter"/>
      <w:lvlText w:val="%8."/>
      <w:lvlJc w:val="left"/>
      <w:pPr>
        <w:ind w:left="6475" w:hanging="360"/>
      </w:pPr>
    </w:lvl>
    <w:lvl w:ilvl="8" w:tplc="0809001B" w:tentative="1">
      <w:start w:val="1"/>
      <w:numFmt w:val="lowerRoman"/>
      <w:lvlText w:val="%9."/>
      <w:lvlJc w:val="right"/>
      <w:pPr>
        <w:ind w:left="7195" w:hanging="180"/>
      </w:pPr>
    </w:lvl>
  </w:abstractNum>
  <w:abstractNum w:abstractNumId="23" w15:restartNumberingAfterBreak="0">
    <w:nsid w:val="6EBB585D"/>
    <w:multiLevelType w:val="hybridMultilevel"/>
    <w:tmpl w:val="088EAB0C"/>
    <w:lvl w:ilvl="0" w:tplc="F940B42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166229F"/>
    <w:multiLevelType w:val="hybridMultilevel"/>
    <w:tmpl w:val="C1AA3B6A"/>
    <w:lvl w:ilvl="0" w:tplc="AC7A61E4">
      <w:start w:val="1"/>
      <w:numFmt w:val="decimal"/>
      <w:lvlText w:val="(%1)"/>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240E2C">
      <w:start w:val="1"/>
      <w:numFmt w:val="lowerLetter"/>
      <w:lvlText w:val="(%2)"/>
      <w:lvlJc w:val="left"/>
      <w:pPr>
        <w:ind w:left="1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839BC">
      <w:start w:val="1"/>
      <w:numFmt w:val="lowerRoman"/>
      <w:lvlText w:val="%3"/>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04864A">
      <w:start w:val="1"/>
      <w:numFmt w:val="decimal"/>
      <w:lvlText w:val="%4"/>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88FE2">
      <w:start w:val="1"/>
      <w:numFmt w:val="lowerLetter"/>
      <w:lvlText w:val="%5"/>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5EAF5C">
      <w:start w:val="1"/>
      <w:numFmt w:val="lowerRoman"/>
      <w:lvlText w:val="%6"/>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2AE432">
      <w:start w:val="1"/>
      <w:numFmt w:val="decimal"/>
      <w:lvlText w:val="%7"/>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462DEC">
      <w:start w:val="1"/>
      <w:numFmt w:val="lowerLetter"/>
      <w:lvlText w:val="%8"/>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6691E">
      <w:start w:val="1"/>
      <w:numFmt w:val="lowerRoman"/>
      <w:lvlText w:val="%9"/>
      <w:lvlJc w:val="left"/>
      <w:pPr>
        <w:ind w:left="6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8A39CA"/>
    <w:multiLevelType w:val="hybridMultilevel"/>
    <w:tmpl w:val="8C9A6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817CEF"/>
    <w:multiLevelType w:val="hybridMultilevel"/>
    <w:tmpl w:val="48AEAF38"/>
    <w:lvl w:ilvl="0" w:tplc="645C80D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FC177E">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4C5476">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8F81E">
      <w:start w:val="1"/>
      <w:numFmt w:val="upperLetter"/>
      <w:lvlText w:val="(%4)"/>
      <w:lvlJc w:val="left"/>
      <w:pPr>
        <w:ind w:left="2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76EA1E">
      <w:start w:val="1"/>
      <w:numFmt w:val="lowerLetter"/>
      <w:lvlText w:val="%5"/>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4AF7C">
      <w:start w:val="1"/>
      <w:numFmt w:val="lowerRoman"/>
      <w:lvlText w:val="%6"/>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8266DE">
      <w:start w:val="1"/>
      <w:numFmt w:val="decimal"/>
      <w:lvlText w:val="%7"/>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12761E">
      <w:start w:val="1"/>
      <w:numFmt w:val="lowerLetter"/>
      <w:lvlText w:val="%8"/>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80CDAE">
      <w:start w:val="1"/>
      <w:numFmt w:val="lowerRoman"/>
      <w:lvlText w:val="%9"/>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6527FE"/>
    <w:multiLevelType w:val="multilevel"/>
    <w:tmpl w:val="088EAB0C"/>
    <w:styleLink w:val="CurrentList1"/>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618686291">
    <w:abstractNumId w:val="6"/>
  </w:num>
  <w:num w:numId="2" w16cid:durableId="2042388739">
    <w:abstractNumId w:val="26"/>
  </w:num>
  <w:num w:numId="3" w16cid:durableId="1305356905">
    <w:abstractNumId w:val="5"/>
  </w:num>
  <w:num w:numId="4" w16cid:durableId="1267155875">
    <w:abstractNumId w:val="11"/>
  </w:num>
  <w:num w:numId="5" w16cid:durableId="1726832922">
    <w:abstractNumId w:val="16"/>
  </w:num>
  <w:num w:numId="6" w16cid:durableId="1010792378">
    <w:abstractNumId w:val="12"/>
  </w:num>
  <w:num w:numId="7" w16cid:durableId="1302880792">
    <w:abstractNumId w:val="3"/>
  </w:num>
  <w:num w:numId="8" w16cid:durableId="1181050351">
    <w:abstractNumId w:val="24"/>
  </w:num>
  <w:num w:numId="9" w16cid:durableId="1670521081">
    <w:abstractNumId w:val="9"/>
  </w:num>
  <w:num w:numId="10" w16cid:durableId="1345597954">
    <w:abstractNumId w:val="18"/>
  </w:num>
  <w:num w:numId="11" w16cid:durableId="1744832461">
    <w:abstractNumId w:val="17"/>
  </w:num>
  <w:num w:numId="12" w16cid:durableId="1218123924">
    <w:abstractNumId w:val="8"/>
  </w:num>
  <w:num w:numId="13" w16cid:durableId="694161147">
    <w:abstractNumId w:val="1"/>
  </w:num>
  <w:num w:numId="14" w16cid:durableId="1346441747">
    <w:abstractNumId w:val="22"/>
  </w:num>
  <w:num w:numId="15" w16cid:durableId="1807118296">
    <w:abstractNumId w:val="25"/>
  </w:num>
  <w:num w:numId="16" w16cid:durableId="1787235791">
    <w:abstractNumId w:val="2"/>
  </w:num>
  <w:num w:numId="17" w16cid:durableId="2140955052">
    <w:abstractNumId w:val="19"/>
  </w:num>
  <w:num w:numId="18" w16cid:durableId="185558539">
    <w:abstractNumId w:val="20"/>
  </w:num>
  <w:num w:numId="19" w16cid:durableId="980382500">
    <w:abstractNumId w:val="7"/>
  </w:num>
  <w:num w:numId="20" w16cid:durableId="95292821">
    <w:abstractNumId w:val="14"/>
  </w:num>
  <w:num w:numId="21" w16cid:durableId="1608779659">
    <w:abstractNumId w:val="0"/>
  </w:num>
  <w:num w:numId="22" w16cid:durableId="1740396784">
    <w:abstractNumId w:val="10"/>
  </w:num>
  <w:num w:numId="23" w16cid:durableId="459416222">
    <w:abstractNumId w:val="4"/>
  </w:num>
  <w:num w:numId="24" w16cid:durableId="1691298137">
    <w:abstractNumId w:val="13"/>
  </w:num>
  <w:num w:numId="25" w16cid:durableId="1773085628">
    <w:abstractNumId w:val="21"/>
  </w:num>
  <w:num w:numId="26" w16cid:durableId="130561056">
    <w:abstractNumId w:val="23"/>
  </w:num>
  <w:num w:numId="27" w16cid:durableId="1944068151">
    <w:abstractNumId w:val="15"/>
  </w:num>
  <w:num w:numId="28" w16cid:durableId="188614228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62"/>
    <w:rsid w:val="00001E30"/>
    <w:rsid w:val="00003195"/>
    <w:rsid w:val="00004492"/>
    <w:rsid w:val="00004FA4"/>
    <w:rsid w:val="000064C4"/>
    <w:rsid w:val="00012A4D"/>
    <w:rsid w:val="000156DD"/>
    <w:rsid w:val="00015ABE"/>
    <w:rsid w:val="00020F3C"/>
    <w:rsid w:val="000210E9"/>
    <w:rsid w:val="0002276F"/>
    <w:rsid w:val="00024E8C"/>
    <w:rsid w:val="00027030"/>
    <w:rsid w:val="00027BA9"/>
    <w:rsid w:val="00027D70"/>
    <w:rsid w:val="00030A4B"/>
    <w:rsid w:val="000325E0"/>
    <w:rsid w:val="00033864"/>
    <w:rsid w:val="0003435A"/>
    <w:rsid w:val="00034F3A"/>
    <w:rsid w:val="000359EE"/>
    <w:rsid w:val="00036F12"/>
    <w:rsid w:val="00037052"/>
    <w:rsid w:val="000408BE"/>
    <w:rsid w:val="00041216"/>
    <w:rsid w:val="00041B47"/>
    <w:rsid w:val="00043986"/>
    <w:rsid w:val="00044D7C"/>
    <w:rsid w:val="000456FE"/>
    <w:rsid w:val="00046383"/>
    <w:rsid w:val="000472EC"/>
    <w:rsid w:val="00054037"/>
    <w:rsid w:val="00056CD8"/>
    <w:rsid w:val="0006048B"/>
    <w:rsid w:val="000614AC"/>
    <w:rsid w:val="000645C9"/>
    <w:rsid w:val="0006696D"/>
    <w:rsid w:val="00070771"/>
    <w:rsid w:val="000730B5"/>
    <w:rsid w:val="00074EAD"/>
    <w:rsid w:val="00080F29"/>
    <w:rsid w:val="0008135C"/>
    <w:rsid w:val="00081D9B"/>
    <w:rsid w:val="00081F38"/>
    <w:rsid w:val="000831D6"/>
    <w:rsid w:val="00085098"/>
    <w:rsid w:val="00085423"/>
    <w:rsid w:val="000867AD"/>
    <w:rsid w:val="00091651"/>
    <w:rsid w:val="000917EC"/>
    <w:rsid w:val="00092045"/>
    <w:rsid w:val="00095E77"/>
    <w:rsid w:val="000A0E0D"/>
    <w:rsid w:val="000A0FA4"/>
    <w:rsid w:val="000A10AF"/>
    <w:rsid w:val="000A1628"/>
    <w:rsid w:val="000A2739"/>
    <w:rsid w:val="000A67C5"/>
    <w:rsid w:val="000A75DB"/>
    <w:rsid w:val="000B072A"/>
    <w:rsid w:val="000B0E70"/>
    <w:rsid w:val="000B2222"/>
    <w:rsid w:val="000B3A3A"/>
    <w:rsid w:val="000B4DB6"/>
    <w:rsid w:val="000B7557"/>
    <w:rsid w:val="000C48A2"/>
    <w:rsid w:val="000C7C33"/>
    <w:rsid w:val="000C7E52"/>
    <w:rsid w:val="000D044A"/>
    <w:rsid w:val="000D0AA0"/>
    <w:rsid w:val="000D111D"/>
    <w:rsid w:val="000D5989"/>
    <w:rsid w:val="000D6AF7"/>
    <w:rsid w:val="000D7ADE"/>
    <w:rsid w:val="000E007D"/>
    <w:rsid w:val="000E1764"/>
    <w:rsid w:val="000E2B40"/>
    <w:rsid w:val="000E2B8B"/>
    <w:rsid w:val="000E2D87"/>
    <w:rsid w:val="000E4D11"/>
    <w:rsid w:val="000E6FA0"/>
    <w:rsid w:val="000F1534"/>
    <w:rsid w:val="000F36D9"/>
    <w:rsid w:val="000F3C13"/>
    <w:rsid w:val="000F4879"/>
    <w:rsid w:val="000F4A80"/>
    <w:rsid w:val="000F6081"/>
    <w:rsid w:val="000F68FC"/>
    <w:rsid w:val="001008BB"/>
    <w:rsid w:val="00100ACF"/>
    <w:rsid w:val="00100DC2"/>
    <w:rsid w:val="001015E5"/>
    <w:rsid w:val="001015F8"/>
    <w:rsid w:val="001019A4"/>
    <w:rsid w:val="00102954"/>
    <w:rsid w:val="00102BD1"/>
    <w:rsid w:val="001051E1"/>
    <w:rsid w:val="00105B61"/>
    <w:rsid w:val="00107A63"/>
    <w:rsid w:val="00110EAA"/>
    <w:rsid w:val="00110F34"/>
    <w:rsid w:val="00112D87"/>
    <w:rsid w:val="00112E21"/>
    <w:rsid w:val="00113F0F"/>
    <w:rsid w:val="00114741"/>
    <w:rsid w:val="00114A67"/>
    <w:rsid w:val="0011776B"/>
    <w:rsid w:val="00121812"/>
    <w:rsid w:val="001309BE"/>
    <w:rsid w:val="00132A6D"/>
    <w:rsid w:val="00133ED3"/>
    <w:rsid w:val="0013582B"/>
    <w:rsid w:val="001359D6"/>
    <w:rsid w:val="00136EEF"/>
    <w:rsid w:val="00137283"/>
    <w:rsid w:val="00137F14"/>
    <w:rsid w:val="00140F94"/>
    <w:rsid w:val="0014230B"/>
    <w:rsid w:val="00145FDB"/>
    <w:rsid w:val="00150C28"/>
    <w:rsid w:val="00154F08"/>
    <w:rsid w:val="001551E0"/>
    <w:rsid w:val="00156105"/>
    <w:rsid w:val="001600DF"/>
    <w:rsid w:val="00160B76"/>
    <w:rsid w:val="00163C17"/>
    <w:rsid w:val="0016485C"/>
    <w:rsid w:val="00165A27"/>
    <w:rsid w:val="001702F7"/>
    <w:rsid w:val="001714A0"/>
    <w:rsid w:val="001718EA"/>
    <w:rsid w:val="00172D18"/>
    <w:rsid w:val="00174115"/>
    <w:rsid w:val="001760EA"/>
    <w:rsid w:val="0019136E"/>
    <w:rsid w:val="00191E86"/>
    <w:rsid w:val="001951AE"/>
    <w:rsid w:val="00196E16"/>
    <w:rsid w:val="001A1D25"/>
    <w:rsid w:val="001A2B8F"/>
    <w:rsid w:val="001A50DF"/>
    <w:rsid w:val="001A5239"/>
    <w:rsid w:val="001B029D"/>
    <w:rsid w:val="001B14A2"/>
    <w:rsid w:val="001B14D5"/>
    <w:rsid w:val="001B1EB7"/>
    <w:rsid w:val="001B4796"/>
    <w:rsid w:val="001B4842"/>
    <w:rsid w:val="001B712B"/>
    <w:rsid w:val="001B7F60"/>
    <w:rsid w:val="001C1F69"/>
    <w:rsid w:val="001C349F"/>
    <w:rsid w:val="001C3FE7"/>
    <w:rsid w:val="001C46A0"/>
    <w:rsid w:val="001C4A64"/>
    <w:rsid w:val="001C6953"/>
    <w:rsid w:val="001D0569"/>
    <w:rsid w:val="001D0B57"/>
    <w:rsid w:val="001D0CEE"/>
    <w:rsid w:val="001D1175"/>
    <w:rsid w:val="001D3629"/>
    <w:rsid w:val="001D5905"/>
    <w:rsid w:val="001E062B"/>
    <w:rsid w:val="001E112F"/>
    <w:rsid w:val="001E218B"/>
    <w:rsid w:val="001E2574"/>
    <w:rsid w:val="001E312D"/>
    <w:rsid w:val="001E3EEF"/>
    <w:rsid w:val="001E752A"/>
    <w:rsid w:val="001F1747"/>
    <w:rsid w:val="001F1D0E"/>
    <w:rsid w:val="001F70F7"/>
    <w:rsid w:val="00200950"/>
    <w:rsid w:val="00202244"/>
    <w:rsid w:val="00202C81"/>
    <w:rsid w:val="00211B4D"/>
    <w:rsid w:val="00213D40"/>
    <w:rsid w:val="0022003D"/>
    <w:rsid w:val="0022111D"/>
    <w:rsid w:val="00224050"/>
    <w:rsid w:val="00225069"/>
    <w:rsid w:val="0022536E"/>
    <w:rsid w:val="00225ACB"/>
    <w:rsid w:val="00225BDD"/>
    <w:rsid w:val="0022669A"/>
    <w:rsid w:val="002330F4"/>
    <w:rsid w:val="0023596A"/>
    <w:rsid w:val="00236B81"/>
    <w:rsid w:val="002401F7"/>
    <w:rsid w:val="0024048B"/>
    <w:rsid w:val="00240659"/>
    <w:rsid w:val="00240C30"/>
    <w:rsid w:val="0024238F"/>
    <w:rsid w:val="002437FB"/>
    <w:rsid w:val="00243ABB"/>
    <w:rsid w:val="0024423F"/>
    <w:rsid w:val="00245F4D"/>
    <w:rsid w:val="002465A5"/>
    <w:rsid w:val="00251624"/>
    <w:rsid w:val="0025189A"/>
    <w:rsid w:val="00251AE7"/>
    <w:rsid w:val="00256A13"/>
    <w:rsid w:val="00256EC3"/>
    <w:rsid w:val="00263FD9"/>
    <w:rsid w:val="00264592"/>
    <w:rsid w:val="00264EBD"/>
    <w:rsid w:val="00265B3F"/>
    <w:rsid w:val="00266910"/>
    <w:rsid w:val="00266C91"/>
    <w:rsid w:val="00276116"/>
    <w:rsid w:val="00280003"/>
    <w:rsid w:val="0028049C"/>
    <w:rsid w:val="002831F5"/>
    <w:rsid w:val="00285C10"/>
    <w:rsid w:val="0028619E"/>
    <w:rsid w:val="00286A91"/>
    <w:rsid w:val="002871A4"/>
    <w:rsid w:val="00290353"/>
    <w:rsid w:val="0029133B"/>
    <w:rsid w:val="00292068"/>
    <w:rsid w:val="00292EC6"/>
    <w:rsid w:val="00293790"/>
    <w:rsid w:val="002949F2"/>
    <w:rsid w:val="002A09C2"/>
    <w:rsid w:val="002A1357"/>
    <w:rsid w:val="002A3CFB"/>
    <w:rsid w:val="002A5D9A"/>
    <w:rsid w:val="002A5DFC"/>
    <w:rsid w:val="002A6298"/>
    <w:rsid w:val="002A6F50"/>
    <w:rsid w:val="002B4C66"/>
    <w:rsid w:val="002B5D1F"/>
    <w:rsid w:val="002B6CE0"/>
    <w:rsid w:val="002C01D5"/>
    <w:rsid w:val="002C3741"/>
    <w:rsid w:val="002C3CD5"/>
    <w:rsid w:val="002D0489"/>
    <w:rsid w:val="002D1989"/>
    <w:rsid w:val="002D3057"/>
    <w:rsid w:val="002D3373"/>
    <w:rsid w:val="002D731B"/>
    <w:rsid w:val="002D7ACA"/>
    <w:rsid w:val="002E013E"/>
    <w:rsid w:val="002E421D"/>
    <w:rsid w:val="002E5763"/>
    <w:rsid w:val="002E6F57"/>
    <w:rsid w:val="002E7017"/>
    <w:rsid w:val="002F029D"/>
    <w:rsid w:val="002F1407"/>
    <w:rsid w:val="0030117E"/>
    <w:rsid w:val="0030272A"/>
    <w:rsid w:val="00302AE0"/>
    <w:rsid w:val="00303A48"/>
    <w:rsid w:val="00305F8D"/>
    <w:rsid w:val="003100D6"/>
    <w:rsid w:val="00311108"/>
    <w:rsid w:val="00311389"/>
    <w:rsid w:val="00311749"/>
    <w:rsid w:val="0031290E"/>
    <w:rsid w:val="003144A8"/>
    <w:rsid w:val="0031545B"/>
    <w:rsid w:val="003202D8"/>
    <w:rsid w:val="00323065"/>
    <w:rsid w:val="003234DE"/>
    <w:rsid w:val="00323774"/>
    <w:rsid w:val="00326927"/>
    <w:rsid w:val="00333351"/>
    <w:rsid w:val="003334B9"/>
    <w:rsid w:val="00337EF5"/>
    <w:rsid w:val="00340BC1"/>
    <w:rsid w:val="0034197A"/>
    <w:rsid w:val="003423A7"/>
    <w:rsid w:val="00343301"/>
    <w:rsid w:val="00344389"/>
    <w:rsid w:val="00344574"/>
    <w:rsid w:val="003501FB"/>
    <w:rsid w:val="00351A62"/>
    <w:rsid w:val="00352745"/>
    <w:rsid w:val="00354854"/>
    <w:rsid w:val="00354A5E"/>
    <w:rsid w:val="0035604C"/>
    <w:rsid w:val="0035791F"/>
    <w:rsid w:val="00362284"/>
    <w:rsid w:val="00366848"/>
    <w:rsid w:val="00366D5F"/>
    <w:rsid w:val="003725B8"/>
    <w:rsid w:val="00376C48"/>
    <w:rsid w:val="00377B89"/>
    <w:rsid w:val="0038132C"/>
    <w:rsid w:val="0038389D"/>
    <w:rsid w:val="003839BA"/>
    <w:rsid w:val="00384487"/>
    <w:rsid w:val="00385E59"/>
    <w:rsid w:val="0038616E"/>
    <w:rsid w:val="00391111"/>
    <w:rsid w:val="003911B9"/>
    <w:rsid w:val="00393D9A"/>
    <w:rsid w:val="003A2B5B"/>
    <w:rsid w:val="003A2B93"/>
    <w:rsid w:val="003A447B"/>
    <w:rsid w:val="003A4663"/>
    <w:rsid w:val="003A50C3"/>
    <w:rsid w:val="003A5437"/>
    <w:rsid w:val="003A62B9"/>
    <w:rsid w:val="003B1779"/>
    <w:rsid w:val="003B1DDD"/>
    <w:rsid w:val="003B23A8"/>
    <w:rsid w:val="003B3557"/>
    <w:rsid w:val="003B452A"/>
    <w:rsid w:val="003B4E46"/>
    <w:rsid w:val="003B5B8C"/>
    <w:rsid w:val="003B7275"/>
    <w:rsid w:val="003C0129"/>
    <w:rsid w:val="003C2D18"/>
    <w:rsid w:val="003C4D5B"/>
    <w:rsid w:val="003C6757"/>
    <w:rsid w:val="003C7B07"/>
    <w:rsid w:val="003C7E90"/>
    <w:rsid w:val="003D0AF8"/>
    <w:rsid w:val="003D1347"/>
    <w:rsid w:val="003D19B7"/>
    <w:rsid w:val="003D1C87"/>
    <w:rsid w:val="003D2492"/>
    <w:rsid w:val="003D250D"/>
    <w:rsid w:val="003D4CB8"/>
    <w:rsid w:val="003E0589"/>
    <w:rsid w:val="003E4579"/>
    <w:rsid w:val="003E48B4"/>
    <w:rsid w:val="003E4F02"/>
    <w:rsid w:val="003E537F"/>
    <w:rsid w:val="003E5E2F"/>
    <w:rsid w:val="003E7572"/>
    <w:rsid w:val="003F035E"/>
    <w:rsid w:val="003F0569"/>
    <w:rsid w:val="003F16CD"/>
    <w:rsid w:val="003F526B"/>
    <w:rsid w:val="003F5F9C"/>
    <w:rsid w:val="003F62B0"/>
    <w:rsid w:val="00401DD2"/>
    <w:rsid w:val="00404DE3"/>
    <w:rsid w:val="00405783"/>
    <w:rsid w:val="0040589F"/>
    <w:rsid w:val="00405CB8"/>
    <w:rsid w:val="00406A4F"/>
    <w:rsid w:val="00406F7E"/>
    <w:rsid w:val="00407669"/>
    <w:rsid w:val="00411FCD"/>
    <w:rsid w:val="0041207C"/>
    <w:rsid w:val="004141DA"/>
    <w:rsid w:val="0041457B"/>
    <w:rsid w:val="00423B14"/>
    <w:rsid w:val="004241D3"/>
    <w:rsid w:val="00427166"/>
    <w:rsid w:val="004311C2"/>
    <w:rsid w:val="00434D2A"/>
    <w:rsid w:val="00436EF1"/>
    <w:rsid w:val="00440012"/>
    <w:rsid w:val="0044005D"/>
    <w:rsid w:val="00441EF3"/>
    <w:rsid w:val="00443734"/>
    <w:rsid w:val="00450636"/>
    <w:rsid w:val="00451869"/>
    <w:rsid w:val="00452570"/>
    <w:rsid w:val="004538E1"/>
    <w:rsid w:val="004552A7"/>
    <w:rsid w:val="004571AC"/>
    <w:rsid w:val="0046279B"/>
    <w:rsid w:val="00464218"/>
    <w:rsid w:val="00466431"/>
    <w:rsid w:val="004674B6"/>
    <w:rsid w:val="00470970"/>
    <w:rsid w:val="004726C5"/>
    <w:rsid w:val="00475947"/>
    <w:rsid w:val="00476118"/>
    <w:rsid w:val="00476234"/>
    <w:rsid w:val="004762B1"/>
    <w:rsid w:val="004805FB"/>
    <w:rsid w:val="00483064"/>
    <w:rsid w:val="0048381E"/>
    <w:rsid w:val="00484345"/>
    <w:rsid w:val="00490A00"/>
    <w:rsid w:val="00492B3F"/>
    <w:rsid w:val="00493A68"/>
    <w:rsid w:val="00493F55"/>
    <w:rsid w:val="00496C8F"/>
    <w:rsid w:val="004A10BE"/>
    <w:rsid w:val="004A3D89"/>
    <w:rsid w:val="004A4D4D"/>
    <w:rsid w:val="004A5135"/>
    <w:rsid w:val="004A529B"/>
    <w:rsid w:val="004A5BD5"/>
    <w:rsid w:val="004A6F77"/>
    <w:rsid w:val="004B0279"/>
    <w:rsid w:val="004B0B72"/>
    <w:rsid w:val="004B30D7"/>
    <w:rsid w:val="004B450A"/>
    <w:rsid w:val="004B6446"/>
    <w:rsid w:val="004B7768"/>
    <w:rsid w:val="004C143D"/>
    <w:rsid w:val="004C18A1"/>
    <w:rsid w:val="004C324F"/>
    <w:rsid w:val="004C33F6"/>
    <w:rsid w:val="004C3EE2"/>
    <w:rsid w:val="004C42D9"/>
    <w:rsid w:val="004C5DDD"/>
    <w:rsid w:val="004C653C"/>
    <w:rsid w:val="004C7B5B"/>
    <w:rsid w:val="004D1CF5"/>
    <w:rsid w:val="004D56A1"/>
    <w:rsid w:val="004D6ECE"/>
    <w:rsid w:val="004E1405"/>
    <w:rsid w:val="004E1C1C"/>
    <w:rsid w:val="004E482C"/>
    <w:rsid w:val="004F4B35"/>
    <w:rsid w:val="004F772E"/>
    <w:rsid w:val="0050037B"/>
    <w:rsid w:val="005006F3"/>
    <w:rsid w:val="00502B1F"/>
    <w:rsid w:val="00505F3B"/>
    <w:rsid w:val="00507690"/>
    <w:rsid w:val="005114A8"/>
    <w:rsid w:val="005116F1"/>
    <w:rsid w:val="00512335"/>
    <w:rsid w:val="005145ED"/>
    <w:rsid w:val="005165F8"/>
    <w:rsid w:val="00516B98"/>
    <w:rsid w:val="00522038"/>
    <w:rsid w:val="00523CC8"/>
    <w:rsid w:val="00524BDA"/>
    <w:rsid w:val="00525672"/>
    <w:rsid w:val="00530C14"/>
    <w:rsid w:val="00531806"/>
    <w:rsid w:val="00532429"/>
    <w:rsid w:val="00532996"/>
    <w:rsid w:val="00532ECF"/>
    <w:rsid w:val="005351E5"/>
    <w:rsid w:val="005359CA"/>
    <w:rsid w:val="00536ED4"/>
    <w:rsid w:val="00540AD8"/>
    <w:rsid w:val="005425F5"/>
    <w:rsid w:val="005428C0"/>
    <w:rsid w:val="00542FD6"/>
    <w:rsid w:val="00543AD7"/>
    <w:rsid w:val="00547734"/>
    <w:rsid w:val="00547DC1"/>
    <w:rsid w:val="00550F13"/>
    <w:rsid w:val="005534C6"/>
    <w:rsid w:val="00554D5A"/>
    <w:rsid w:val="00555C33"/>
    <w:rsid w:val="00560221"/>
    <w:rsid w:val="00563F22"/>
    <w:rsid w:val="00566C4B"/>
    <w:rsid w:val="00571B45"/>
    <w:rsid w:val="00572D18"/>
    <w:rsid w:val="00573D66"/>
    <w:rsid w:val="005765E1"/>
    <w:rsid w:val="0057724D"/>
    <w:rsid w:val="00581597"/>
    <w:rsid w:val="0058531A"/>
    <w:rsid w:val="00590C2A"/>
    <w:rsid w:val="00591124"/>
    <w:rsid w:val="005919F2"/>
    <w:rsid w:val="00592D7C"/>
    <w:rsid w:val="005937D3"/>
    <w:rsid w:val="005941F5"/>
    <w:rsid w:val="005965C7"/>
    <w:rsid w:val="00596DFA"/>
    <w:rsid w:val="0059724A"/>
    <w:rsid w:val="0059774C"/>
    <w:rsid w:val="005A2E75"/>
    <w:rsid w:val="005A2ED8"/>
    <w:rsid w:val="005A4F38"/>
    <w:rsid w:val="005B2CA8"/>
    <w:rsid w:val="005B3EB8"/>
    <w:rsid w:val="005B3FA5"/>
    <w:rsid w:val="005C0CE9"/>
    <w:rsid w:val="005C3D96"/>
    <w:rsid w:val="005C668A"/>
    <w:rsid w:val="005C729D"/>
    <w:rsid w:val="005D1477"/>
    <w:rsid w:val="005E0E09"/>
    <w:rsid w:val="005E2A8E"/>
    <w:rsid w:val="005E4FCF"/>
    <w:rsid w:val="005F2672"/>
    <w:rsid w:val="005F3FC4"/>
    <w:rsid w:val="005F52DD"/>
    <w:rsid w:val="005F57B7"/>
    <w:rsid w:val="005F5D42"/>
    <w:rsid w:val="006033C1"/>
    <w:rsid w:val="006079A7"/>
    <w:rsid w:val="00610A2F"/>
    <w:rsid w:val="00610A81"/>
    <w:rsid w:val="006128F7"/>
    <w:rsid w:val="0061385B"/>
    <w:rsid w:val="006153B3"/>
    <w:rsid w:val="00615CE7"/>
    <w:rsid w:val="00616772"/>
    <w:rsid w:val="00623A88"/>
    <w:rsid w:val="0062626D"/>
    <w:rsid w:val="00627DB8"/>
    <w:rsid w:val="006300C1"/>
    <w:rsid w:val="00630328"/>
    <w:rsid w:val="006310FE"/>
    <w:rsid w:val="00633C2A"/>
    <w:rsid w:val="006346AB"/>
    <w:rsid w:val="00634CFB"/>
    <w:rsid w:val="006355BC"/>
    <w:rsid w:val="006424D9"/>
    <w:rsid w:val="00644183"/>
    <w:rsid w:val="00645C64"/>
    <w:rsid w:val="006460B1"/>
    <w:rsid w:val="006471FE"/>
    <w:rsid w:val="00651F24"/>
    <w:rsid w:val="00653710"/>
    <w:rsid w:val="00653790"/>
    <w:rsid w:val="00656BEE"/>
    <w:rsid w:val="00656E7A"/>
    <w:rsid w:val="00656EB6"/>
    <w:rsid w:val="0066442A"/>
    <w:rsid w:val="00665C90"/>
    <w:rsid w:val="00665F1A"/>
    <w:rsid w:val="0066709D"/>
    <w:rsid w:val="006676EE"/>
    <w:rsid w:val="00667EC7"/>
    <w:rsid w:val="0067067C"/>
    <w:rsid w:val="00672CA7"/>
    <w:rsid w:val="00673EE0"/>
    <w:rsid w:val="006746D5"/>
    <w:rsid w:val="006751CE"/>
    <w:rsid w:val="00675BCD"/>
    <w:rsid w:val="006764EB"/>
    <w:rsid w:val="00676DCF"/>
    <w:rsid w:val="0068200C"/>
    <w:rsid w:val="00682396"/>
    <w:rsid w:val="006829F1"/>
    <w:rsid w:val="00683AEF"/>
    <w:rsid w:val="006842CB"/>
    <w:rsid w:val="00684831"/>
    <w:rsid w:val="00687296"/>
    <w:rsid w:val="006911CD"/>
    <w:rsid w:val="00692AC1"/>
    <w:rsid w:val="00694491"/>
    <w:rsid w:val="00695D8C"/>
    <w:rsid w:val="00697C33"/>
    <w:rsid w:val="006A02C1"/>
    <w:rsid w:val="006A587D"/>
    <w:rsid w:val="006B0179"/>
    <w:rsid w:val="006B0AA4"/>
    <w:rsid w:val="006B0BD0"/>
    <w:rsid w:val="006B1CAE"/>
    <w:rsid w:val="006B286D"/>
    <w:rsid w:val="006B44DF"/>
    <w:rsid w:val="006B542B"/>
    <w:rsid w:val="006B66C7"/>
    <w:rsid w:val="006C16C8"/>
    <w:rsid w:val="006C2CA0"/>
    <w:rsid w:val="006C4478"/>
    <w:rsid w:val="006C4E30"/>
    <w:rsid w:val="006C68D1"/>
    <w:rsid w:val="006C7306"/>
    <w:rsid w:val="006D20B7"/>
    <w:rsid w:val="006D311B"/>
    <w:rsid w:val="006D3F62"/>
    <w:rsid w:val="006D60BF"/>
    <w:rsid w:val="006D7BA3"/>
    <w:rsid w:val="006E042E"/>
    <w:rsid w:val="006E2169"/>
    <w:rsid w:val="006E284E"/>
    <w:rsid w:val="006E3258"/>
    <w:rsid w:val="006E36D7"/>
    <w:rsid w:val="006E58B6"/>
    <w:rsid w:val="006E6D02"/>
    <w:rsid w:val="006F0A89"/>
    <w:rsid w:val="006F4F69"/>
    <w:rsid w:val="0070059F"/>
    <w:rsid w:val="007009C2"/>
    <w:rsid w:val="007028DF"/>
    <w:rsid w:val="0070409B"/>
    <w:rsid w:val="00704479"/>
    <w:rsid w:val="007053BF"/>
    <w:rsid w:val="00720C80"/>
    <w:rsid w:val="00721A5B"/>
    <w:rsid w:val="00724CA2"/>
    <w:rsid w:val="00726F64"/>
    <w:rsid w:val="0072702C"/>
    <w:rsid w:val="00727B01"/>
    <w:rsid w:val="007319BD"/>
    <w:rsid w:val="00731B25"/>
    <w:rsid w:val="00732E0D"/>
    <w:rsid w:val="00733760"/>
    <w:rsid w:val="0073427A"/>
    <w:rsid w:val="00741093"/>
    <w:rsid w:val="0074186B"/>
    <w:rsid w:val="007424BD"/>
    <w:rsid w:val="007440D4"/>
    <w:rsid w:val="00745F92"/>
    <w:rsid w:val="007461C9"/>
    <w:rsid w:val="007462C4"/>
    <w:rsid w:val="00746396"/>
    <w:rsid w:val="007470A4"/>
    <w:rsid w:val="007478C7"/>
    <w:rsid w:val="00751753"/>
    <w:rsid w:val="00751BAE"/>
    <w:rsid w:val="0075226F"/>
    <w:rsid w:val="007528A9"/>
    <w:rsid w:val="007532DF"/>
    <w:rsid w:val="00757C42"/>
    <w:rsid w:val="00762C9D"/>
    <w:rsid w:val="0076386A"/>
    <w:rsid w:val="0076455C"/>
    <w:rsid w:val="00764E5F"/>
    <w:rsid w:val="007652EE"/>
    <w:rsid w:val="00771B81"/>
    <w:rsid w:val="00771FCB"/>
    <w:rsid w:val="007736F3"/>
    <w:rsid w:val="00775F3B"/>
    <w:rsid w:val="0077602E"/>
    <w:rsid w:val="00777238"/>
    <w:rsid w:val="00780C5C"/>
    <w:rsid w:val="007844DA"/>
    <w:rsid w:val="007922D6"/>
    <w:rsid w:val="007948A1"/>
    <w:rsid w:val="00795C7B"/>
    <w:rsid w:val="007966FB"/>
    <w:rsid w:val="00797861"/>
    <w:rsid w:val="007A0CDE"/>
    <w:rsid w:val="007A3781"/>
    <w:rsid w:val="007A3852"/>
    <w:rsid w:val="007A7482"/>
    <w:rsid w:val="007B2210"/>
    <w:rsid w:val="007B2A20"/>
    <w:rsid w:val="007B4305"/>
    <w:rsid w:val="007B5181"/>
    <w:rsid w:val="007B70FD"/>
    <w:rsid w:val="007B7938"/>
    <w:rsid w:val="007C306C"/>
    <w:rsid w:val="007C4312"/>
    <w:rsid w:val="007C46E2"/>
    <w:rsid w:val="007C4B53"/>
    <w:rsid w:val="007C4C2D"/>
    <w:rsid w:val="007C5CFE"/>
    <w:rsid w:val="007C6928"/>
    <w:rsid w:val="007C6E1E"/>
    <w:rsid w:val="007C7A3F"/>
    <w:rsid w:val="007D04ED"/>
    <w:rsid w:val="007D2B6A"/>
    <w:rsid w:val="007D2D9A"/>
    <w:rsid w:val="007D373B"/>
    <w:rsid w:val="007D61C5"/>
    <w:rsid w:val="007D66F1"/>
    <w:rsid w:val="007D71A3"/>
    <w:rsid w:val="007D74B5"/>
    <w:rsid w:val="007D7D99"/>
    <w:rsid w:val="007D7E9D"/>
    <w:rsid w:val="007E1CCC"/>
    <w:rsid w:val="007E238F"/>
    <w:rsid w:val="007E2CD7"/>
    <w:rsid w:val="007E507A"/>
    <w:rsid w:val="007E617C"/>
    <w:rsid w:val="007E6905"/>
    <w:rsid w:val="007E773C"/>
    <w:rsid w:val="007E77DC"/>
    <w:rsid w:val="007F0344"/>
    <w:rsid w:val="007F0B39"/>
    <w:rsid w:val="007F0C99"/>
    <w:rsid w:val="007F49B6"/>
    <w:rsid w:val="00804C0B"/>
    <w:rsid w:val="008053F9"/>
    <w:rsid w:val="008060F8"/>
    <w:rsid w:val="00806443"/>
    <w:rsid w:val="008071E8"/>
    <w:rsid w:val="00810111"/>
    <w:rsid w:val="00812E24"/>
    <w:rsid w:val="008141BC"/>
    <w:rsid w:val="008142B3"/>
    <w:rsid w:val="00816020"/>
    <w:rsid w:val="008170B4"/>
    <w:rsid w:val="00817CB6"/>
    <w:rsid w:val="00821616"/>
    <w:rsid w:val="00822E1F"/>
    <w:rsid w:val="00823486"/>
    <w:rsid w:val="00823845"/>
    <w:rsid w:val="008315C4"/>
    <w:rsid w:val="00835A01"/>
    <w:rsid w:val="00835D2C"/>
    <w:rsid w:val="00836298"/>
    <w:rsid w:val="00836E25"/>
    <w:rsid w:val="00837819"/>
    <w:rsid w:val="008409B2"/>
    <w:rsid w:val="0084122A"/>
    <w:rsid w:val="0084128F"/>
    <w:rsid w:val="00841D0B"/>
    <w:rsid w:val="00842D9F"/>
    <w:rsid w:val="00851C52"/>
    <w:rsid w:val="008520EB"/>
    <w:rsid w:val="00852663"/>
    <w:rsid w:val="00852FC8"/>
    <w:rsid w:val="00854541"/>
    <w:rsid w:val="008550B2"/>
    <w:rsid w:val="00855F51"/>
    <w:rsid w:val="00856885"/>
    <w:rsid w:val="008570D5"/>
    <w:rsid w:val="00857FB8"/>
    <w:rsid w:val="00861A23"/>
    <w:rsid w:val="00862626"/>
    <w:rsid w:val="00865D85"/>
    <w:rsid w:val="008661EC"/>
    <w:rsid w:val="00866738"/>
    <w:rsid w:val="00870D11"/>
    <w:rsid w:val="00871FA6"/>
    <w:rsid w:val="00872C59"/>
    <w:rsid w:val="00873F5E"/>
    <w:rsid w:val="00874CFF"/>
    <w:rsid w:val="0087517C"/>
    <w:rsid w:val="00875432"/>
    <w:rsid w:val="008762B0"/>
    <w:rsid w:val="00877456"/>
    <w:rsid w:val="00877530"/>
    <w:rsid w:val="00881F4F"/>
    <w:rsid w:val="0088342C"/>
    <w:rsid w:val="00883B98"/>
    <w:rsid w:val="00885017"/>
    <w:rsid w:val="008856D0"/>
    <w:rsid w:val="00887779"/>
    <w:rsid w:val="00891EB6"/>
    <w:rsid w:val="00892E64"/>
    <w:rsid w:val="008A0116"/>
    <w:rsid w:val="008A0A05"/>
    <w:rsid w:val="008A1B7B"/>
    <w:rsid w:val="008A3D00"/>
    <w:rsid w:val="008A46C9"/>
    <w:rsid w:val="008A5157"/>
    <w:rsid w:val="008B0511"/>
    <w:rsid w:val="008B06C2"/>
    <w:rsid w:val="008B0DE7"/>
    <w:rsid w:val="008B1008"/>
    <w:rsid w:val="008B3C75"/>
    <w:rsid w:val="008B416D"/>
    <w:rsid w:val="008C1A10"/>
    <w:rsid w:val="008C28E5"/>
    <w:rsid w:val="008C5434"/>
    <w:rsid w:val="008C65F2"/>
    <w:rsid w:val="008D5506"/>
    <w:rsid w:val="008D6EE9"/>
    <w:rsid w:val="008E020C"/>
    <w:rsid w:val="008E07C1"/>
    <w:rsid w:val="008E11F9"/>
    <w:rsid w:val="008E3941"/>
    <w:rsid w:val="008E42AA"/>
    <w:rsid w:val="008E5A3B"/>
    <w:rsid w:val="008F0A26"/>
    <w:rsid w:val="008F1AE1"/>
    <w:rsid w:val="008F56B8"/>
    <w:rsid w:val="008F5A2B"/>
    <w:rsid w:val="00902352"/>
    <w:rsid w:val="00902F86"/>
    <w:rsid w:val="00904C9B"/>
    <w:rsid w:val="00906E76"/>
    <w:rsid w:val="00906F9A"/>
    <w:rsid w:val="00910D5F"/>
    <w:rsid w:val="0091269F"/>
    <w:rsid w:val="009128D1"/>
    <w:rsid w:val="00913ACF"/>
    <w:rsid w:val="009143FE"/>
    <w:rsid w:val="00914B80"/>
    <w:rsid w:val="00915FEE"/>
    <w:rsid w:val="00922E8C"/>
    <w:rsid w:val="009243B9"/>
    <w:rsid w:val="009252DA"/>
    <w:rsid w:val="00926AAD"/>
    <w:rsid w:val="009302AE"/>
    <w:rsid w:val="0093168B"/>
    <w:rsid w:val="00931FE9"/>
    <w:rsid w:val="00934BF7"/>
    <w:rsid w:val="00937073"/>
    <w:rsid w:val="00937618"/>
    <w:rsid w:val="00937882"/>
    <w:rsid w:val="009407C1"/>
    <w:rsid w:val="0094151C"/>
    <w:rsid w:val="00941B60"/>
    <w:rsid w:val="009426EE"/>
    <w:rsid w:val="00945832"/>
    <w:rsid w:val="00946347"/>
    <w:rsid w:val="009464A8"/>
    <w:rsid w:val="00946AB5"/>
    <w:rsid w:val="009517C0"/>
    <w:rsid w:val="00951CE2"/>
    <w:rsid w:val="00952CC4"/>
    <w:rsid w:val="00955B96"/>
    <w:rsid w:val="00960831"/>
    <w:rsid w:val="00964E54"/>
    <w:rsid w:val="009655A0"/>
    <w:rsid w:val="00965C9D"/>
    <w:rsid w:val="00967556"/>
    <w:rsid w:val="00970BF3"/>
    <w:rsid w:val="0097371E"/>
    <w:rsid w:val="00975D7E"/>
    <w:rsid w:val="00976D08"/>
    <w:rsid w:val="009776FA"/>
    <w:rsid w:val="00981911"/>
    <w:rsid w:val="009832BB"/>
    <w:rsid w:val="0098332E"/>
    <w:rsid w:val="00984389"/>
    <w:rsid w:val="00985778"/>
    <w:rsid w:val="009873F3"/>
    <w:rsid w:val="00987FA2"/>
    <w:rsid w:val="0099016C"/>
    <w:rsid w:val="00994BEB"/>
    <w:rsid w:val="00995EB6"/>
    <w:rsid w:val="0099666B"/>
    <w:rsid w:val="009A013B"/>
    <w:rsid w:val="009A130F"/>
    <w:rsid w:val="009A4699"/>
    <w:rsid w:val="009A56A3"/>
    <w:rsid w:val="009A5E89"/>
    <w:rsid w:val="009A7B6C"/>
    <w:rsid w:val="009B5960"/>
    <w:rsid w:val="009B7EC5"/>
    <w:rsid w:val="009C2550"/>
    <w:rsid w:val="009C78EE"/>
    <w:rsid w:val="009D1266"/>
    <w:rsid w:val="009D2A11"/>
    <w:rsid w:val="009D2A35"/>
    <w:rsid w:val="009D42EB"/>
    <w:rsid w:val="009D5740"/>
    <w:rsid w:val="009E1481"/>
    <w:rsid w:val="009E1CA3"/>
    <w:rsid w:val="009E21F9"/>
    <w:rsid w:val="009E3E78"/>
    <w:rsid w:val="009E4BB1"/>
    <w:rsid w:val="009E5B58"/>
    <w:rsid w:val="009F12E5"/>
    <w:rsid w:val="009F3864"/>
    <w:rsid w:val="009F39A0"/>
    <w:rsid w:val="009F542E"/>
    <w:rsid w:val="009F5D40"/>
    <w:rsid w:val="009F7272"/>
    <w:rsid w:val="009F7E09"/>
    <w:rsid w:val="00A00A38"/>
    <w:rsid w:val="00A0136A"/>
    <w:rsid w:val="00A02EE5"/>
    <w:rsid w:val="00A02F89"/>
    <w:rsid w:val="00A0361E"/>
    <w:rsid w:val="00A06986"/>
    <w:rsid w:val="00A07B96"/>
    <w:rsid w:val="00A07EE3"/>
    <w:rsid w:val="00A107A3"/>
    <w:rsid w:val="00A1128F"/>
    <w:rsid w:val="00A1447F"/>
    <w:rsid w:val="00A148D3"/>
    <w:rsid w:val="00A214CF"/>
    <w:rsid w:val="00A23190"/>
    <w:rsid w:val="00A23EC6"/>
    <w:rsid w:val="00A24D6B"/>
    <w:rsid w:val="00A2553D"/>
    <w:rsid w:val="00A26660"/>
    <w:rsid w:val="00A31FA0"/>
    <w:rsid w:val="00A34529"/>
    <w:rsid w:val="00A35965"/>
    <w:rsid w:val="00A3753F"/>
    <w:rsid w:val="00A37B28"/>
    <w:rsid w:val="00A41060"/>
    <w:rsid w:val="00A413A3"/>
    <w:rsid w:val="00A43120"/>
    <w:rsid w:val="00A431E1"/>
    <w:rsid w:val="00A44B04"/>
    <w:rsid w:val="00A44E6A"/>
    <w:rsid w:val="00A451FB"/>
    <w:rsid w:val="00A471AA"/>
    <w:rsid w:val="00A50870"/>
    <w:rsid w:val="00A51851"/>
    <w:rsid w:val="00A53675"/>
    <w:rsid w:val="00A53F69"/>
    <w:rsid w:val="00A55264"/>
    <w:rsid w:val="00A56D26"/>
    <w:rsid w:val="00A6045D"/>
    <w:rsid w:val="00A642A9"/>
    <w:rsid w:val="00A750B6"/>
    <w:rsid w:val="00A7597B"/>
    <w:rsid w:val="00A81A60"/>
    <w:rsid w:val="00A81C34"/>
    <w:rsid w:val="00A847D8"/>
    <w:rsid w:val="00A95295"/>
    <w:rsid w:val="00A95AE1"/>
    <w:rsid w:val="00A9681A"/>
    <w:rsid w:val="00AA1791"/>
    <w:rsid w:val="00AA4B6C"/>
    <w:rsid w:val="00AB0F1A"/>
    <w:rsid w:val="00AB199A"/>
    <w:rsid w:val="00AC0436"/>
    <w:rsid w:val="00AC06A2"/>
    <w:rsid w:val="00AC133A"/>
    <w:rsid w:val="00AC1510"/>
    <w:rsid w:val="00AC2DFC"/>
    <w:rsid w:val="00AC4A0D"/>
    <w:rsid w:val="00AC7D71"/>
    <w:rsid w:val="00AD3C4F"/>
    <w:rsid w:val="00AD3EB1"/>
    <w:rsid w:val="00AD4E45"/>
    <w:rsid w:val="00AD5C64"/>
    <w:rsid w:val="00AD650C"/>
    <w:rsid w:val="00AD70BC"/>
    <w:rsid w:val="00AE0673"/>
    <w:rsid w:val="00AE3AD0"/>
    <w:rsid w:val="00AE4C6D"/>
    <w:rsid w:val="00AE6073"/>
    <w:rsid w:val="00AF261A"/>
    <w:rsid w:val="00AF2F9C"/>
    <w:rsid w:val="00AF415B"/>
    <w:rsid w:val="00AF44E5"/>
    <w:rsid w:val="00B06481"/>
    <w:rsid w:val="00B114A5"/>
    <w:rsid w:val="00B11C3A"/>
    <w:rsid w:val="00B12E65"/>
    <w:rsid w:val="00B13C10"/>
    <w:rsid w:val="00B15D49"/>
    <w:rsid w:val="00B165EB"/>
    <w:rsid w:val="00B17BBC"/>
    <w:rsid w:val="00B23059"/>
    <w:rsid w:val="00B230F9"/>
    <w:rsid w:val="00B237C4"/>
    <w:rsid w:val="00B2542E"/>
    <w:rsid w:val="00B27F81"/>
    <w:rsid w:val="00B3225B"/>
    <w:rsid w:val="00B3238D"/>
    <w:rsid w:val="00B32F86"/>
    <w:rsid w:val="00B33344"/>
    <w:rsid w:val="00B33643"/>
    <w:rsid w:val="00B33829"/>
    <w:rsid w:val="00B357A2"/>
    <w:rsid w:val="00B3670D"/>
    <w:rsid w:val="00B401CB"/>
    <w:rsid w:val="00B40B63"/>
    <w:rsid w:val="00B40B8A"/>
    <w:rsid w:val="00B45E58"/>
    <w:rsid w:val="00B47ACC"/>
    <w:rsid w:val="00B51380"/>
    <w:rsid w:val="00B51D51"/>
    <w:rsid w:val="00B529D9"/>
    <w:rsid w:val="00B52B2B"/>
    <w:rsid w:val="00B52B6D"/>
    <w:rsid w:val="00B554F3"/>
    <w:rsid w:val="00B5610D"/>
    <w:rsid w:val="00B57FD4"/>
    <w:rsid w:val="00B61D7C"/>
    <w:rsid w:val="00B626E0"/>
    <w:rsid w:val="00B62C4D"/>
    <w:rsid w:val="00B63765"/>
    <w:rsid w:val="00B64038"/>
    <w:rsid w:val="00B65232"/>
    <w:rsid w:val="00B66184"/>
    <w:rsid w:val="00B722A4"/>
    <w:rsid w:val="00B725DF"/>
    <w:rsid w:val="00B72974"/>
    <w:rsid w:val="00B742AC"/>
    <w:rsid w:val="00B80A74"/>
    <w:rsid w:val="00B812F8"/>
    <w:rsid w:val="00B86D99"/>
    <w:rsid w:val="00B9071E"/>
    <w:rsid w:val="00B90ABA"/>
    <w:rsid w:val="00B93D67"/>
    <w:rsid w:val="00B94F69"/>
    <w:rsid w:val="00B95E93"/>
    <w:rsid w:val="00B97857"/>
    <w:rsid w:val="00BA054E"/>
    <w:rsid w:val="00BA2BAF"/>
    <w:rsid w:val="00BA4B9B"/>
    <w:rsid w:val="00BA6AFD"/>
    <w:rsid w:val="00BB09EC"/>
    <w:rsid w:val="00BB3386"/>
    <w:rsid w:val="00BB76EA"/>
    <w:rsid w:val="00BC19CC"/>
    <w:rsid w:val="00BC2A76"/>
    <w:rsid w:val="00BC4F85"/>
    <w:rsid w:val="00BC5195"/>
    <w:rsid w:val="00BC5552"/>
    <w:rsid w:val="00BD1791"/>
    <w:rsid w:val="00BD2336"/>
    <w:rsid w:val="00BD2E39"/>
    <w:rsid w:val="00BD6773"/>
    <w:rsid w:val="00BD6FB5"/>
    <w:rsid w:val="00BE1274"/>
    <w:rsid w:val="00BE4176"/>
    <w:rsid w:val="00BE4266"/>
    <w:rsid w:val="00BE5BC8"/>
    <w:rsid w:val="00BE6BD6"/>
    <w:rsid w:val="00BE7C66"/>
    <w:rsid w:val="00BF0CEA"/>
    <w:rsid w:val="00BF365E"/>
    <w:rsid w:val="00BF5032"/>
    <w:rsid w:val="00BF66EA"/>
    <w:rsid w:val="00C01924"/>
    <w:rsid w:val="00C01CF3"/>
    <w:rsid w:val="00C03A82"/>
    <w:rsid w:val="00C03E25"/>
    <w:rsid w:val="00C05AB7"/>
    <w:rsid w:val="00C10EF4"/>
    <w:rsid w:val="00C122F6"/>
    <w:rsid w:val="00C1379A"/>
    <w:rsid w:val="00C13B75"/>
    <w:rsid w:val="00C1432F"/>
    <w:rsid w:val="00C1441E"/>
    <w:rsid w:val="00C149C1"/>
    <w:rsid w:val="00C15023"/>
    <w:rsid w:val="00C15C96"/>
    <w:rsid w:val="00C17529"/>
    <w:rsid w:val="00C1787B"/>
    <w:rsid w:val="00C20997"/>
    <w:rsid w:val="00C24C38"/>
    <w:rsid w:val="00C257B1"/>
    <w:rsid w:val="00C262BE"/>
    <w:rsid w:val="00C26722"/>
    <w:rsid w:val="00C277D3"/>
    <w:rsid w:val="00C27831"/>
    <w:rsid w:val="00C27A12"/>
    <w:rsid w:val="00C3590C"/>
    <w:rsid w:val="00C36897"/>
    <w:rsid w:val="00C41899"/>
    <w:rsid w:val="00C42F78"/>
    <w:rsid w:val="00C45671"/>
    <w:rsid w:val="00C46A62"/>
    <w:rsid w:val="00C476B9"/>
    <w:rsid w:val="00C53E3B"/>
    <w:rsid w:val="00C557CA"/>
    <w:rsid w:val="00C56046"/>
    <w:rsid w:val="00C5751F"/>
    <w:rsid w:val="00C57761"/>
    <w:rsid w:val="00C6192F"/>
    <w:rsid w:val="00C622A4"/>
    <w:rsid w:val="00C62D20"/>
    <w:rsid w:val="00C715A2"/>
    <w:rsid w:val="00C7267E"/>
    <w:rsid w:val="00C72FB0"/>
    <w:rsid w:val="00C75DE5"/>
    <w:rsid w:val="00C85868"/>
    <w:rsid w:val="00C928D4"/>
    <w:rsid w:val="00C93AF6"/>
    <w:rsid w:val="00C96AB8"/>
    <w:rsid w:val="00C97F1F"/>
    <w:rsid w:val="00CA2933"/>
    <w:rsid w:val="00CA5941"/>
    <w:rsid w:val="00CB0771"/>
    <w:rsid w:val="00CB12F1"/>
    <w:rsid w:val="00CB2565"/>
    <w:rsid w:val="00CB2CBC"/>
    <w:rsid w:val="00CB4C13"/>
    <w:rsid w:val="00CB623E"/>
    <w:rsid w:val="00CC0F43"/>
    <w:rsid w:val="00CC1131"/>
    <w:rsid w:val="00CC15C5"/>
    <w:rsid w:val="00CD0FF5"/>
    <w:rsid w:val="00CD3EAF"/>
    <w:rsid w:val="00CD4C46"/>
    <w:rsid w:val="00CD732A"/>
    <w:rsid w:val="00CE0DBD"/>
    <w:rsid w:val="00CE1ACB"/>
    <w:rsid w:val="00CE2D3F"/>
    <w:rsid w:val="00CE2E70"/>
    <w:rsid w:val="00CE4E1D"/>
    <w:rsid w:val="00CE6858"/>
    <w:rsid w:val="00CE6C08"/>
    <w:rsid w:val="00CE6C93"/>
    <w:rsid w:val="00CE72BE"/>
    <w:rsid w:val="00CF0D7B"/>
    <w:rsid w:val="00CF2142"/>
    <w:rsid w:val="00CF25E0"/>
    <w:rsid w:val="00CF2AC7"/>
    <w:rsid w:val="00CF2DB8"/>
    <w:rsid w:val="00CF3568"/>
    <w:rsid w:val="00CF5F76"/>
    <w:rsid w:val="00CF61FD"/>
    <w:rsid w:val="00CF6EE5"/>
    <w:rsid w:val="00CF7EAE"/>
    <w:rsid w:val="00D021DA"/>
    <w:rsid w:val="00D03CD0"/>
    <w:rsid w:val="00D04261"/>
    <w:rsid w:val="00D04A3A"/>
    <w:rsid w:val="00D05C13"/>
    <w:rsid w:val="00D07EDC"/>
    <w:rsid w:val="00D111EB"/>
    <w:rsid w:val="00D11C1A"/>
    <w:rsid w:val="00D13849"/>
    <w:rsid w:val="00D15DDC"/>
    <w:rsid w:val="00D17674"/>
    <w:rsid w:val="00D203BE"/>
    <w:rsid w:val="00D234B2"/>
    <w:rsid w:val="00D23952"/>
    <w:rsid w:val="00D304A1"/>
    <w:rsid w:val="00D31E80"/>
    <w:rsid w:val="00D324AE"/>
    <w:rsid w:val="00D32BEC"/>
    <w:rsid w:val="00D32C12"/>
    <w:rsid w:val="00D34EA8"/>
    <w:rsid w:val="00D3579A"/>
    <w:rsid w:val="00D36A80"/>
    <w:rsid w:val="00D40C20"/>
    <w:rsid w:val="00D41BE3"/>
    <w:rsid w:val="00D429B3"/>
    <w:rsid w:val="00D42A50"/>
    <w:rsid w:val="00D434E1"/>
    <w:rsid w:val="00D43551"/>
    <w:rsid w:val="00D45233"/>
    <w:rsid w:val="00D45C07"/>
    <w:rsid w:val="00D47217"/>
    <w:rsid w:val="00D51C98"/>
    <w:rsid w:val="00D52A87"/>
    <w:rsid w:val="00D53A66"/>
    <w:rsid w:val="00D53A73"/>
    <w:rsid w:val="00D6040D"/>
    <w:rsid w:val="00D62DAB"/>
    <w:rsid w:val="00D642B8"/>
    <w:rsid w:val="00D65C0B"/>
    <w:rsid w:val="00D7057E"/>
    <w:rsid w:val="00D70744"/>
    <w:rsid w:val="00D70AFC"/>
    <w:rsid w:val="00D71772"/>
    <w:rsid w:val="00D812D7"/>
    <w:rsid w:val="00D9006E"/>
    <w:rsid w:val="00D905E6"/>
    <w:rsid w:val="00D9206B"/>
    <w:rsid w:val="00D921B3"/>
    <w:rsid w:val="00D92462"/>
    <w:rsid w:val="00D931FE"/>
    <w:rsid w:val="00D97675"/>
    <w:rsid w:val="00DA4E81"/>
    <w:rsid w:val="00DA5775"/>
    <w:rsid w:val="00DB01C0"/>
    <w:rsid w:val="00DB1261"/>
    <w:rsid w:val="00DB2763"/>
    <w:rsid w:val="00DB39AF"/>
    <w:rsid w:val="00DB4762"/>
    <w:rsid w:val="00DB551B"/>
    <w:rsid w:val="00DB5A8E"/>
    <w:rsid w:val="00DB6E58"/>
    <w:rsid w:val="00DB6E5A"/>
    <w:rsid w:val="00DC0D3B"/>
    <w:rsid w:val="00DC1D50"/>
    <w:rsid w:val="00DC2B34"/>
    <w:rsid w:val="00DC39FA"/>
    <w:rsid w:val="00DC4C7E"/>
    <w:rsid w:val="00DC7766"/>
    <w:rsid w:val="00DC7EE9"/>
    <w:rsid w:val="00DD126F"/>
    <w:rsid w:val="00DD160D"/>
    <w:rsid w:val="00DD224E"/>
    <w:rsid w:val="00DD2C85"/>
    <w:rsid w:val="00DD2E11"/>
    <w:rsid w:val="00DD5968"/>
    <w:rsid w:val="00DD6049"/>
    <w:rsid w:val="00DD62D4"/>
    <w:rsid w:val="00DD76DC"/>
    <w:rsid w:val="00DE25D5"/>
    <w:rsid w:val="00DE2899"/>
    <w:rsid w:val="00DE3032"/>
    <w:rsid w:val="00DE3CD5"/>
    <w:rsid w:val="00DE69C1"/>
    <w:rsid w:val="00DE7428"/>
    <w:rsid w:val="00DF02DF"/>
    <w:rsid w:val="00DF0D4C"/>
    <w:rsid w:val="00DF292B"/>
    <w:rsid w:val="00DF41D8"/>
    <w:rsid w:val="00DF55DC"/>
    <w:rsid w:val="00E01164"/>
    <w:rsid w:val="00E02BE4"/>
    <w:rsid w:val="00E04DCE"/>
    <w:rsid w:val="00E1748A"/>
    <w:rsid w:val="00E17AE0"/>
    <w:rsid w:val="00E20154"/>
    <w:rsid w:val="00E205C0"/>
    <w:rsid w:val="00E22604"/>
    <w:rsid w:val="00E226AD"/>
    <w:rsid w:val="00E23353"/>
    <w:rsid w:val="00E2500F"/>
    <w:rsid w:val="00E253B3"/>
    <w:rsid w:val="00E257D4"/>
    <w:rsid w:val="00E258D2"/>
    <w:rsid w:val="00E30403"/>
    <w:rsid w:val="00E311CA"/>
    <w:rsid w:val="00E313FA"/>
    <w:rsid w:val="00E34123"/>
    <w:rsid w:val="00E34C0D"/>
    <w:rsid w:val="00E3584B"/>
    <w:rsid w:val="00E41168"/>
    <w:rsid w:val="00E411C4"/>
    <w:rsid w:val="00E41373"/>
    <w:rsid w:val="00E41C20"/>
    <w:rsid w:val="00E42473"/>
    <w:rsid w:val="00E42E4E"/>
    <w:rsid w:val="00E437FB"/>
    <w:rsid w:val="00E43FCB"/>
    <w:rsid w:val="00E4528B"/>
    <w:rsid w:val="00E47550"/>
    <w:rsid w:val="00E50DAC"/>
    <w:rsid w:val="00E516A7"/>
    <w:rsid w:val="00E60315"/>
    <w:rsid w:val="00E6223A"/>
    <w:rsid w:val="00E62C70"/>
    <w:rsid w:val="00E63650"/>
    <w:rsid w:val="00E639C7"/>
    <w:rsid w:val="00E64E14"/>
    <w:rsid w:val="00E70993"/>
    <w:rsid w:val="00E71EDD"/>
    <w:rsid w:val="00E73174"/>
    <w:rsid w:val="00E8584B"/>
    <w:rsid w:val="00E86811"/>
    <w:rsid w:val="00E87642"/>
    <w:rsid w:val="00E91491"/>
    <w:rsid w:val="00E91643"/>
    <w:rsid w:val="00E94DEE"/>
    <w:rsid w:val="00EA44F7"/>
    <w:rsid w:val="00EA6119"/>
    <w:rsid w:val="00EA7AC8"/>
    <w:rsid w:val="00EB368C"/>
    <w:rsid w:val="00EC1809"/>
    <w:rsid w:val="00EC1987"/>
    <w:rsid w:val="00EC2558"/>
    <w:rsid w:val="00EC6A54"/>
    <w:rsid w:val="00EC778C"/>
    <w:rsid w:val="00ED2915"/>
    <w:rsid w:val="00ED5B22"/>
    <w:rsid w:val="00EE2BDF"/>
    <w:rsid w:val="00EE5836"/>
    <w:rsid w:val="00EF04B6"/>
    <w:rsid w:val="00EF0DC6"/>
    <w:rsid w:val="00EF13BC"/>
    <w:rsid w:val="00EF1790"/>
    <w:rsid w:val="00EF3E02"/>
    <w:rsid w:val="00EF4696"/>
    <w:rsid w:val="00EF476A"/>
    <w:rsid w:val="00EF6D91"/>
    <w:rsid w:val="00F00501"/>
    <w:rsid w:val="00F023D4"/>
    <w:rsid w:val="00F02D7D"/>
    <w:rsid w:val="00F036FC"/>
    <w:rsid w:val="00F06692"/>
    <w:rsid w:val="00F066FC"/>
    <w:rsid w:val="00F07FE4"/>
    <w:rsid w:val="00F13C06"/>
    <w:rsid w:val="00F14825"/>
    <w:rsid w:val="00F15C9C"/>
    <w:rsid w:val="00F17E03"/>
    <w:rsid w:val="00F21252"/>
    <w:rsid w:val="00F218B0"/>
    <w:rsid w:val="00F225F6"/>
    <w:rsid w:val="00F23F70"/>
    <w:rsid w:val="00F2496C"/>
    <w:rsid w:val="00F24F34"/>
    <w:rsid w:val="00F26D13"/>
    <w:rsid w:val="00F27C15"/>
    <w:rsid w:val="00F30D3F"/>
    <w:rsid w:val="00F310D7"/>
    <w:rsid w:val="00F31117"/>
    <w:rsid w:val="00F31D0F"/>
    <w:rsid w:val="00F32567"/>
    <w:rsid w:val="00F33641"/>
    <w:rsid w:val="00F33A48"/>
    <w:rsid w:val="00F34456"/>
    <w:rsid w:val="00F47C1B"/>
    <w:rsid w:val="00F520E8"/>
    <w:rsid w:val="00F53414"/>
    <w:rsid w:val="00F546E3"/>
    <w:rsid w:val="00F5537E"/>
    <w:rsid w:val="00F55EEC"/>
    <w:rsid w:val="00F57E5A"/>
    <w:rsid w:val="00F638DB"/>
    <w:rsid w:val="00F700E6"/>
    <w:rsid w:val="00F70801"/>
    <w:rsid w:val="00F740E5"/>
    <w:rsid w:val="00F7585C"/>
    <w:rsid w:val="00F75B0A"/>
    <w:rsid w:val="00F77680"/>
    <w:rsid w:val="00F81415"/>
    <w:rsid w:val="00F826BC"/>
    <w:rsid w:val="00F82954"/>
    <w:rsid w:val="00F83194"/>
    <w:rsid w:val="00F854E6"/>
    <w:rsid w:val="00F85A0E"/>
    <w:rsid w:val="00F90073"/>
    <w:rsid w:val="00F90494"/>
    <w:rsid w:val="00F929DD"/>
    <w:rsid w:val="00F937CC"/>
    <w:rsid w:val="00FA0E73"/>
    <w:rsid w:val="00FA2C90"/>
    <w:rsid w:val="00FA5DC8"/>
    <w:rsid w:val="00FB0652"/>
    <w:rsid w:val="00FB35FE"/>
    <w:rsid w:val="00FB39F0"/>
    <w:rsid w:val="00FB4B64"/>
    <w:rsid w:val="00FB6057"/>
    <w:rsid w:val="00FB77B7"/>
    <w:rsid w:val="00FC184C"/>
    <w:rsid w:val="00FC2606"/>
    <w:rsid w:val="00FC3D25"/>
    <w:rsid w:val="00FC4558"/>
    <w:rsid w:val="00FC46C7"/>
    <w:rsid w:val="00FC4FC7"/>
    <w:rsid w:val="00FC5761"/>
    <w:rsid w:val="00FC61A1"/>
    <w:rsid w:val="00FD4110"/>
    <w:rsid w:val="00FD657E"/>
    <w:rsid w:val="00FE0B92"/>
    <w:rsid w:val="00FE3FF1"/>
    <w:rsid w:val="00FE7A74"/>
    <w:rsid w:val="00FF1F65"/>
    <w:rsid w:val="00FF2463"/>
    <w:rsid w:val="00FF5488"/>
    <w:rsid w:val="00FF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9E2C7"/>
  <w15:docId w15:val="{89BA1910-A1FC-4A74-B8E8-BAED6BB3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80"/>
    <w:pPr>
      <w:spacing w:after="177" w:line="248" w:lineRule="auto"/>
      <w:ind w:left="8" w:right="1167" w:hanging="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64" w:line="250" w:lineRule="auto"/>
      <w:ind w:left="10" w:right="57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64" w:line="250" w:lineRule="auto"/>
      <w:ind w:left="10" w:right="571"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64" w:line="250" w:lineRule="auto"/>
      <w:ind w:left="10" w:right="571"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164" w:line="250" w:lineRule="auto"/>
      <w:ind w:left="10" w:right="571"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uiPriority w:val="9"/>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 w:type="paragraph" w:styleId="Revision">
    <w:name w:val="Revision"/>
    <w:hidden/>
    <w:uiPriority w:val="99"/>
    <w:semiHidden/>
    <w:rsid w:val="002F029D"/>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E34C0D"/>
    <w:pPr>
      <w:ind w:left="720"/>
      <w:contextualSpacing/>
    </w:pPr>
  </w:style>
  <w:style w:type="paragraph" w:styleId="Header">
    <w:name w:val="header"/>
    <w:basedOn w:val="Normal"/>
    <w:link w:val="HeaderChar"/>
    <w:uiPriority w:val="99"/>
    <w:unhideWhenUsed/>
    <w:rsid w:val="00BE1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274"/>
    <w:rPr>
      <w:rFonts w:ascii="Times New Roman" w:eastAsia="Times New Roman" w:hAnsi="Times New Roman" w:cs="Times New Roman"/>
      <w:color w:val="000000"/>
    </w:rPr>
  </w:style>
  <w:style w:type="paragraph" w:styleId="Footer">
    <w:name w:val="footer"/>
    <w:basedOn w:val="Normal"/>
    <w:link w:val="FooterChar"/>
    <w:uiPriority w:val="99"/>
    <w:unhideWhenUsed/>
    <w:rsid w:val="00BE1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274"/>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405783"/>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EF476A"/>
    <w:pPr>
      <w:tabs>
        <w:tab w:val="left" w:pos="660"/>
        <w:tab w:val="right" w:leader="dot" w:pos="9622"/>
      </w:tabs>
      <w:spacing w:after="100"/>
      <w:ind w:left="220"/>
    </w:pPr>
  </w:style>
  <w:style w:type="paragraph" w:styleId="TOC3">
    <w:name w:val="toc 3"/>
    <w:basedOn w:val="Normal"/>
    <w:next w:val="Normal"/>
    <w:autoRedefine/>
    <w:uiPriority w:val="39"/>
    <w:unhideWhenUsed/>
    <w:rsid w:val="00AD650C"/>
    <w:pPr>
      <w:tabs>
        <w:tab w:val="left" w:pos="880"/>
        <w:tab w:val="right" w:leader="dot" w:pos="9622"/>
      </w:tabs>
      <w:spacing w:after="100"/>
      <w:ind w:left="440"/>
    </w:pPr>
  </w:style>
  <w:style w:type="character" w:styleId="Hyperlink">
    <w:name w:val="Hyperlink"/>
    <w:basedOn w:val="DefaultParagraphFont"/>
    <w:uiPriority w:val="99"/>
    <w:unhideWhenUsed/>
    <w:rsid w:val="00405783"/>
    <w:rPr>
      <w:color w:val="0563C1" w:themeColor="hyperlink"/>
      <w:u w:val="single"/>
    </w:rPr>
  </w:style>
  <w:style w:type="paragraph" w:styleId="TOC1">
    <w:name w:val="toc 1"/>
    <w:basedOn w:val="Normal"/>
    <w:next w:val="Normal"/>
    <w:autoRedefine/>
    <w:uiPriority w:val="39"/>
    <w:unhideWhenUsed/>
    <w:rsid w:val="00CF7EAE"/>
    <w:pPr>
      <w:spacing w:after="100"/>
      <w:ind w:left="0"/>
    </w:pPr>
  </w:style>
  <w:style w:type="character" w:styleId="CommentReference">
    <w:name w:val="annotation reference"/>
    <w:basedOn w:val="DefaultParagraphFont"/>
    <w:uiPriority w:val="99"/>
    <w:semiHidden/>
    <w:unhideWhenUsed/>
    <w:rsid w:val="00AC4A0D"/>
    <w:rPr>
      <w:sz w:val="16"/>
      <w:szCs w:val="16"/>
    </w:rPr>
  </w:style>
  <w:style w:type="paragraph" w:styleId="CommentText">
    <w:name w:val="annotation text"/>
    <w:basedOn w:val="Normal"/>
    <w:link w:val="CommentTextChar"/>
    <w:uiPriority w:val="99"/>
    <w:unhideWhenUsed/>
    <w:rsid w:val="00AC4A0D"/>
    <w:pPr>
      <w:spacing w:line="240" w:lineRule="auto"/>
    </w:pPr>
    <w:rPr>
      <w:sz w:val="20"/>
      <w:szCs w:val="20"/>
    </w:rPr>
  </w:style>
  <w:style w:type="character" w:customStyle="1" w:styleId="CommentTextChar">
    <w:name w:val="Comment Text Char"/>
    <w:basedOn w:val="DefaultParagraphFont"/>
    <w:link w:val="CommentText"/>
    <w:uiPriority w:val="99"/>
    <w:rsid w:val="00AC4A0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C4A0D"/>
    <w:rPr>
      <w:b/>
      <w:bCs/>
    </w:rPr>
  </w:style>
  <w:style w:type="character" w:customStyle="1" w:styleId="CommentSubjectChar">
    <w:name w:val="Comment Subject Char"/>
    <w:basedOn w:val="CommentTextChar"/>
    <w:link w:val="CommentSubject"/>
    <w:uiPriority w:val="99"/>
    <w:semiHidden/>
    <w:rsid w:val="00AC4A0D"/>
    <w:rPr>
      <w:rFonts w:ascii="Times New Roman" w:eastAsia="Times New Roman" w:hAnsi="Times New Roman" w:cs="Times New Roman"/>
      <w:b/>
      <w:bCs/>
      <w:color w:val="000000"/>
      <w:sz w:val="20"/>
      <w:szCs w:val="20"/>
    </w:rPr>
  </w:style>
  <w:style w:type="table" w:customStyle="1" w:styleId="table">
    <w:name w:val="table"/>
    <w:basedOn w:val="TableNormal"/>
    <w:rsid w:val="00D42A50"/>
    <w:pPr>
      <w:spacing w:after="0" w:line="240" w:lineRule="auto"/>
    </w:pPr>
    <w:rPr>
      <w:rFonts w:ascii="Times New Roman" w:eastAsia="Times New Roman" w:hAnsi="Times New Roman" w:cs="Times New Roman"/>
      <w:sz w:val="20"/>
      <w:szCs w:val="20"/>
    </w:rPr>
    <w:tblPr/>
  </w:style>
  <w:style w:type="table" w:customStyle="1" w:styleId="p11">
    <w:name w:val="p1_1"/>
    <w:basedOn w:val="TableNormal"/>
    <w:rsid w:val="00D42A50"/>
    <w:pPr>
      <w:spacing w:after="0" w:line="240" w:lineRule="auto"/>
    </w:pPr>
    <w:rPr>
      <w:rFonts w:ascii="Times New Roman" w:eastAsia="Times New Roman" w:hAnsi="Times New Roman" w:cs="Times New Roman"/>
      <w:sz w:val="20"/>
      <w:szCs w:val="20"/>
    </w:rPr>
    <w:tblPr/>
  </w:style>
  <w:style w:type="table" w:customStyle="1" w:styleId="p21">
    <w:name w:val="p2_1"/>
    <w:basedOn w:val="TableNormal"/>
    <w:rsid w:val="00D42A50"/>
    <w:pPr>
      <w:spacing w:after="0" w:line="240" w:lineRule="auto"/>
    </w:pPr>
    <w:rPr>
      <w:rFonts w:ascii="Times New Roman" w:eastAsia="Times New Roman" w:hAnsi="Times New Roman" w:cs="Times New Roman"/>
      <w:sz w:val="20"/>
      <w:szCs w:val="20"/>
    </w:rPr>
    <w:tblPr/>
  </w:style>
  <w:style w:type="paragraph" w:customStyle="1" w:styleId="TableParagraph">
    <w:name w:val="Table Paragraph"/>
    <w:basedOn w:val="Normal"/>
    <w:uiPriority w:val="1"/>
    <w:qFormat/>
    <w:rsid w:val="001A1D25"/>
    <w:pPr>
      <w:widowControl w:val="0"/>
      <w:autoSpaceDE w:val="0"/>
      <w:autoSpaceDN w:val="0"/>
      <w:spacing w:after="0" w:line="240" w:lineRule="auto"/>
      <w:ind w:left="0" w:right="0" w:firstLine="0"/>
      <w:jc w:val="left"/>
    </w:pPr>
    <w:rPr>
      <w:color w:val="auto"/>
      <w:lang w:val="en-US" w:eastAsia="en-US"/>
    </w:rPr>
  </w:style>
  <w:style w:type="paragraph" w:customStyle="1" w:styleId="iLAWS310Paragraph">
    <w:name w:val="iLAWS_310__Paragraph"/>
    <w:rsid w:val="00877530"/>
    <w:pPr>
      <w:tabs>
        <w:tab w:val="left" w:pos="1134"/>
      </w:tabs>
      <w:suppressAutoHyphens/>
      <w:spacing w:before="80" w:after="40" w:line="240" w:lineRule="auto"/>
      <w:ind w:left="1134" w:hanging="567"/>
      <w:jc w:val="both"/>
    </w:pPr>
    <w:rPr>
      <w:rFonts w:ascii="Times New Roman" w:eastAsia="MS Mincho" w:hAnsi="Times New Roman" w:cs="Times New Roman"/>
      <w:lang w:eastAsia="en-US"/>
    </w:rPr>
  </w:style>
  <w:style w:type="paragraph" w:customStyle="1" w:styleId="iLAWS320SubParagraph">
    <w:name w:val="iLAWS_320___SubParagraph"/>
    <w:rsid w:val="00877530"/>
    <w:pPr>
      <w:tabs>
        <w:tab w:val="left" w:pos="1701"/>
      </w:tabs>
      <w:suppressAutoHyphens/>
      <w:spacing w:before="80" w:after="40" w:line="240" w:lineRule="auto"/>
      <w:ind w:left="1701" w:hanging="567"/>
      <w:jc w:val="both"/>
    </w:pPr>
    <w:rPr>
      <w:rFonts w:ascii="Times New Roman" w:eastAsia="Times New Roman" w:hAnsi="Times New Roman" w:cs="Times New Roman"/>
      <w:color w:val="000000"/>
      <w:lang w:eastAsia="en-US"/>
    </w:rPr>
  </w:style>
  <w:style w:type="character" w:customStyle="1" w:styleId="iLAWS914ArticleNumber">
    <w:name w:val="iLAWS_914_Article_Number"/>
    <w:rsid w:val="00877530"/>
    <w:rPr>
      <w:rFonts w:ascii="Calibri" w:hAnsi="Calibri"/>
      <w:dstrike w:val="0"/>
      <w:color w:val="auto"/>
      <w:sz w:val="24"/>
      <w:szCs w:val="22"/>
      <w:vertAlign w:val="baseline"/>
      <w:lang w:val="en-GB"/>
    </w:rPr>
  </w:style>
  <w:style w:type="paragraph" w:customStyle="1" w:styleId="iLAWS300ArticleIndent">
    <w:name w:val="iLAWS_300_Article_Indent"/>
    <w:basedOn w:val="iLAWS300Article"/>
    <w:semiHidden/>
    <w:rsid w:val="00877530"/>
    <w:pPr>
      <w:pBdr>
        <w:left w:val="single" w:sz="12" w:space="28" w:color="008000"/>
      </w:pBdr>
      <w:tabs>
        <w:tab w:val="clear" w:pos="567"/>
        <w:tab w:val="left" w:pos="1134"/>
      </w:tabs>
      <w:ind w:left="1134"/>
      <w:outlineLvl w:val="9"/>
    </w:pPr>
  </w:style>
  <w:style w:type="paragraph" w:customStyle="1" w:styleId="iLAWS300Article">
    <w:name w:val="iLAWS_300_Article"/>
    <w:next w:val="iLAWS310Paragraph"/>
    <w:rsid w:val="00877530"/>
    <w:pPr>
      <w:keepNext/>
      <w:tabs>
        <w:tab w:val="left" w:pos="567"/>
      </w:tabs>
      <w:suppressAutoHyphens/>
      <w:spacing w:before="480" w:after="0" w:line="240" w:lineRule="auto"/>
      <w:ind w:left="567" w:hanging="567"/>
      <w:outlineLvl w:val="2"/>
    </w:pPr>
    <w:rPr>
      <w:rFonts w:ascii="Calibri" w:eastAsia="Times New Roman" w:hAnsi="Calibri" w:cs="Times New Roman"/>
      <w:b/>
      <w:sz w:val="24"/>
      <w:lang w:eastAsia="en-US"/>
    </w:rPr>
  </w:style>
  <w:style w:type="paragraph" w:customStyle="1" w:styleId="iLAWS301Paragraphunnumbered">
    <w:name w:val="iLAWS_301__Paragraph_unnumbered"/>
    <w:rsid w:val="00877530"/>
    <w:pPr>
      <w:suppressAutoHyphens/>
      <w:spacing w:before="80" w:after="40" w:line="240" w:lineRule="auto"/>
      <w:ind w:left="567"/>
      <w:jc w:val="both"/>
    </w:pPr>
    <w:rPr>
      <w:rFonts w:ascii="Times New Roman" w:eastAsia="Times New Roman" w:hAnsi="Times New Roman" w:cs="Times New Roman"/>
      <w:color w:val="000000"/>
      <w:lang w:eastAsia="en-US"/>
    </w:rPr>
  </w:style>
  <w:style w:type="paragraph" w:customStyle="1" w:styleId="iLAWS311ParagraphContinuedIndent">
    <w:name w:val="iLAWS_311__Paragraph_Continued_Indent"/>
    <w:basedOn w:val="Normal"/>
    <w:semiHidden/>
    <w:rsid w:val="00877530"/>
    <w:pPr>
      <w:pBdr>
        <w:left w:val="single" w:sz="12" w:space="28" w:color="008000"/>
      </w:pBdr>
      <w:tabs>
        <w:tab w:val="left" w:pos="1701"/>
        <w:tab w:val="left" w:pos="2268"/>
      </w:tabs>
      <w:suppressAutoHyphens/>
      <w:spacing w:before="80" w:after="40" w:line="240" w:lineRule="auto"/>
      <w:ind w:left="1701" w:right="0" w:firstLine="0"/>
    </w:pPr>
    <w:rPr>
      <w:rFonts w:eastAsia="MS Mincho"/>
      <w:color w:val="auto"/>
      <w:lang w:eastAsia="en-US"/>
    </w:rPr>
  </w:style>
  <w:style w:type="paragraph" w:customStyle="1" w:styleId="iLAWS310ParagraphIndent">
    <w:name w:val="iLAWS_310__Paragraph_Indent"/>
    <w:basedOn w:val="iLAWS310Paragraph"/>
    <w:semiHidden/>
    <w:rsid w:val="00877530"/>
    <w:pPr>
      <w:pBdr>
        <w:left w:val="single" w:sz="12" w:space="28" w:color="008000"/>
      </w:pBdr>
      <w:tabs>
        <w:tab w:val="clear" w:pos="1134"/>
        <w:tab w:val="left" w:pos="1701"/>
      </w:tabs>
      <w:ind w:left="1701"/>
    </w:pPr>
  </w:style>
  <w:style w:type="paragraph" w:customStyle="1" w:styleId="iLAWS320SubParagraphIndent">
    <w:name w:val="iLAWS_320___SubParagraph_Indent"/>
    <w:basedOn w:val="iLAWS320SubParagraph"/>
    <w:semiHidden/>
    <w:rsid w:val="00877530"/>
    <w:pPr>
      <w:pBdr>
        <w:left w:val="single" w:sz="12" w:space="28" w:color="008000"/>
      </w:pBdr>
      <w:tabs>
        <w:tab w:val="clear" w:pos="1701"/>
        <w:tab w:val="left" w:pos="2268"/>
      </w:tabs>
      <w:ind w:left="2268"/>
    </w:pPr>
  </w:style>
  <w:style w:type="character" w:customStyle="1" w:styleId="iLAWS915ParagraphCharacter">
    <w:name w:val="iLAWS_915_Paragraph_Character"/>
    <w:basedOn w:val="DefaultParagraphFont"/>
    <w:rsid w:val="00877530"/>
    <w:rPr>
      <w:rFonts w:ascii="Times New Roman" w:hAnsi="Times New Roman"/>
      <w:b w:val="0"/>
      <w:i w:val="0"/>
      <w:dstrike w:val="0"/>
      <w:vanish w:val="0"/>
      <w:color w:val="auto"/>
      <w:sz w:val="22"/>
      <w:szCs w:val="22"/>
      <w:vertAlign w:val="baseline"/>
      <w:lang w:val="en-GB"/>
    </w:rPr>
  </w:style>
  <w:style w:type="character" w:customStyle="1" w:styleId="iLAWS916SubParagraphCharacter">
    <w:name w:val="iLAWS_916_SubParagraph_Character"/>
    <w:rsid w:val="00877530"/>
    <w:rPr>
      <w:rFonts w:ascii="Times New Roman" w:hAnsi="Times New Roman"/>
      <w:b w:val="0"/>
      <w:dstrike w:val="0"/>
      <w:vanish w:val="0"/>
      <w:color w:val="auto"/>
      <w:sz w:val="22"/>
      <w:szCs w:val="22"/>
      <w:vertAlign w:val="baseline"/>
      <w:lang w:val="en-GB"/>
    </w:rPr>
  </w:style>
  <w:style w:type="character" w:customStyle="1" w:styleId="iLAWS914ArticleNumberIndent">
    <w:name w:val="iLAWS_914_Article_Number_Indent"/>
    <w:basedOn w:val="iLAWS914ArticleNumber"/>
    <w:uiPriority w:val="1"/>
    <w:rsid w:val="00877530"/>
    <w:rPr>
      <w:rFonts w:ascii="Calibri" w:hAnsi="Calibri"/>
      <w:dstrike w:val="0"/>
      <w:color w:val="auto"/>
      <w:sz w:val="24"/>
      <w:szCs w:val="22"/>
      <w:vertAlign w:val="baseline"/>
      <w:lang w:val="en-GB"/>
    </w:rPr>
  </w:style>
  <w:style w:type="character" w:styleId="UnresolvedMention">
    <w:name w:val="Unresolved Mention"/>
    <w:basedOn w:val="DefaultParagraphFont"/>
    <w:uiPriority w:val="99"/>
    <w:semiHidden/>
    <w:unhideWhenUsed/>
    <w:rsid w:val="00DB01C0"/>
    <w:rPr>
      <w:color w:val="605E5C"/>
      <w:shd w:val="clear" w:color="auto" w:fill="E1DFDD"/>
    </w:rPr>
  </w:style>
  <w:style w:type="paragraph" w:styleId="BalloonText">
    <w:name w:val="Balloon Text"/>
    <w:basedOn w:val="Normal"/>
    <w:link w:val="BalloonTextChar"/>
    <w:uiPriority w:val="99"/>
    <w:semiHidden/>
    <w:unhideWhenUsed/>
    <w:rsid w:val="00744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0D4"/>
    <w:rPr>
      <w:rFonts w:ascii="Segoe UI" w:eastAsia="Times New Roman" w:hAnsi="Segoe UI" w:cs="Segoe UI"/>
      <w:color w:val="000000"/>
      <w:sz w:val="18"/>
      <w:szCs w:val="18"/>
    </w:rPr>
  </w:style>
  <w:style w:type="numbering" w:customStyle="1" w:styleId="CurrentList1">
    <w:name w:val="Current List1"/>
    <w:uiPriority w:val="99"/>
    <w:rsid w:val="0008542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19788">
      <w:bodyDiv w:val="1"/>
      <w:marLeft w:val="0"/>
      <w:marRight w:val="0"/>
      <w:marTop w:val="0"/>
      <w:marBottom w:val="0"/>
      <w:divBdr>
        <w:top w:val="none" w:sz="0" w:space="0" w:color="auto"/>
        <w:left w:val="none" w:sz="0" w:space="0" w:color="auto"/>
        <w:bottom w:val="none" w:sz="0" w:space="0" w:color="auto"/>
        <w:right w:val="none" w:sz="0" w:space="0" w:color="auto"/>
      </w:divBdr>
    </w:div>
    <w:div w:id="1230069065">
      <w:bodyDiv w:val="1"/>
      <w:marLeft w:val="0"/>
      <w:marRight w:val="0"/>
      <w:marTop w:val="0"/>
      <w:marBottom w:val="0"/>
      <w:divBdr>
        <w:top w:val="none" w:sz="0" w:space="0" w:color="auto"/>
        <w:left w:val="none" w:sz="0" w:space="0" w:color="auto"/>
        <w:bottom w:val="none" w:sz="0" w:space="0" w:color="auto"/>
        <w:right w:val="none" w:sz="0" w:space="0" w:color="auto"/>
      </w:divBdr>
      <w:divsChild>
        <w:div w:id="2016808545">
          <w:marLeft w:val="0"/>
          <w:marRight w:val="0"/>
          <w:marTop w:val="0"/>
          <w:marBottom w:val="0"/>
          <w:divBdr>
            <w:top w:val="none" w:sz="0" w:space="0" w:color="auto"/>
            <w:left w:val="none" w:sz="0" w:space="0" w:color="auto"/>
            <w:bottom w:val="none" w:sz="0" w:space="0" w:color="auto"/>
            <w:right w:val="none" w:sz="0" w:space="0" w:color="auto"/>
          </w:divBdr>
        </w:div>
        <w:div w:id="1842962658">
          <w:marLeft w:val="0"/>
          <w:marRight w:val="0"/>
          <w:marTop w:val="0"/>
          <w:marBottom w:val="0"/>
          <w:divBdr>
            <w:top w:val="none" w:sz="0" w:space="0" w:color="auto"/>
            <w:left w:val="none" w:sz="0" w:space="0" w:color="auto"/>
            <w:bottom w:val="none" w:sz="0" w:space="0" w:color="auto"/>
            <w:right w:val="none" w:sz="0" w:space="0" w:color="auto"/>
          </w:divBdr>
        </w:div>
        <w:div w:id="14640385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8D24-2A18-404F-9A5F-EC6BAFF2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6421</Words>
  <Characters>35393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REVISED LAWS OF MAURITIUS 2000</vt:lpstr>
    </vt:vector>
  </TitlesOfParts>
  <Company/>
  <LinksUpToDate>false</LinksUpToDate>
  <CharactersWithSpaces>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LAWS OF MAURITIUS 2000</dc:title>
  <dc:subject/>
  <dc:creator>K</dc:creator>
  <cp:keywords/>
  <cp:lastModifiedBy>MOOLNA Kawthar</cp:lastModifiedBy>
  <cp:revision>5</cp:revision>
  <cp:lastPrinted>2023-11-05T23:11:00Z</cp:lastPrinted>
  <dcterms:created xsi:type="dcterms:W3CDTF">2023-12-06T12:34:00Z</dcterms:created>
  <dcterms:modified xsi:type="dcterms:W3CDTF">2023-12-20T10:24:00Z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d4fd4c72b78b048b1b9f91bcf5efe9cbe9e6b4b25e7d7e910646dd61def4de73</vt:lpwstr>
  </property>
</Properties>
</file>