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25C2" w14:textId="17624DEB" w:rsidR="00D91F3B" w:rsidRPr="00D447BD" w:rsidRDefault="00D447BD">
      <w:pPr>
        <w:spacing w:after="161" w:line="250" w:lineRule="auto"/>
        <w:ind w:left="588" w:right="1150" w:hanging="10"/>
        <w:jc w:val="center"/>
        <w:rPr>
          <w:rFonts w:ascii="Arial" w:hAnsi="Arial" w:cs="Arial"/>
          <w:b/>
          <w:color w:val="FF0000"/>
        </w:rPr>
      </w:pPr>
      <w:r w:rsidRPr="00D447BD">
        <w:rPr>
          <w:rFonts w:ascii="Arial" w:hAnsi="Arial" w:cs="Arial"/>
          <w:b/>
          <w:color w:val="FF0000"/>
        </w:rPr>
        <w:t xml:space="preserve">Draft </w:t>
      </w:r>
      <w:r w:rsidR="0008236D">
        <w:rPr>
          <w:rFonts w:ascii="Arial" w:hAnsi="Arial" w:cs="Arial"/>
          <w:b/>
          <w:color w:val="FF0000"/>
        </w:rPr>
        <w:t>5</w:t>
      </w:r>
      <w:r w:rsidR="008C41D2">
        <w:rPr>
          <w:rFonts w:ascii="Arial" w:hAnsi="Arial" w:cs="Arial"/>
          <w:b/>
          <w:color w:val="FF0000"/>
        </w:rPr>
        <w:t>.12</w:t>
      </w:r>
      <w:r w:rsidR="00CB0D44">
        <w:rPr>
          <w:rFonts w:ascii="Arial" w:hAnsi="Arial" w:cs="Arial"/>
          <w:b/>
          <w:color w:val="FF0000"/>
        </w:rPr>
        <w:t>.</w:t>
      </w:r>
      <w:r w:rsidRPr="00D447BD">
        <w:rPr>
          <w:rFonts w:ascii="Arial" w:hAnsi="Arial" w:cs="Arial"/>
          <w:b/>
          <w:color w:val="FF0000"/>
        </w:rPr>
        <w:t>2023</w:t>
      </w:r>
    </w:p>
    <w:p w14:paraId="29BCD949" w14:textId="631CED5D" w:rsidR="00D92462" w:rsidRPr="00A37928" w:rsidRDefault="00896BD7">
      <w:pPr>
        <w:spacing w:after="161" w:line="250" w:lineRule="auto"/>
        <w:ind w:left="588" w:right="1150" w:hanging="10"/>
        <w:jc w:val="center"/>
        <w:rPr>
          <w:rFonts w:ascii="Arial" w:hAnsi="Arial" w:cs="Arial"/>
          <w:b/>
        </w:rPr>
      </w:pPr>
      <w:r w:rsidRPr="00A37928">
        <w:rPr>
          <w:rFonts w:ascii="Arial" w:hAnsi="Arial" w:cs="Arial"/>
          <w:b/>
        </w:rPr>
        <w:t xml:space="preserve">FINANCIAL SERVICES </w:t>
      </w:r>
      <w:r w:rsidR="0059774C" w:rsidRPr="00A37928">
        <w:rPr>
          <w:rFonts w:ascii="Arial" w:hAnsi="Arial" w:cs="Arial"/>
          <w:b/>
        </w:rPr>
        <w:t>(AMENDMENT)</w:t>
      </w:r>
      <w:r w:rsidR="0076386A" w:rsidRPr="00A37928">
        <w:rPr>
          <w:rFonts w:ascii="Arial" w:hAnsi="Arial" w:cs="Arial"/>
          <w:b/>
        </w:rPr>
        <w:t xml:space="preserve"> ACT </w:t>
      </w:r>
      <w:r w:rsidR="0059774C" w:rsidRPr="00A37928">
        <w:rPr>
          <w:rFonts w:ascii="Arial" w:hAnsi="Arial" w:cs="Arial"/>
          <w:b/>
        </w:rPr>
        <w:t>2023</w:t>
      </w:r>
      <w:r w:rsidR="0076386A" w:rsidRPr="00A37928">
        <w:rPr>
          <w:rFonts w:ascii="Arial" w:hAnsi="Arial" w:cs="Arial"/>
          <w:b/>
        </w:rPr>
        <w:t xml:space="preserve"> </w:t>
      </w:r>
    </w:p>
    <w:p w14:paraId="2636B92C" w14:textId="1FE4A80B" w:rsidR="00D92462" w:rsidRPr="00A37928" w:rsidRDefault="007A0532" w:rsidP="007A0532">
      <w:pPr>
        <w:spacing w:after="22" w:line="259" w:lineRule="auto"/>
        <w:ind w:left="720" w:right="0" w:firstLine="0"/>
        <w:rPr>
          <w:rFonts w:ascii="Arial" w:hAnsi="Arial" w:cs="Arial"/>
          <w:b/>
        </w:rPr>
      </w:pPr>
      <w:r>
        <w:rPr>
          <w:rFonts w:ascii="Arial" w:hAnsi="Arial" w:cs="Arial"/>
          <w:b/>
        </w:rPr>
        <w:t xml:space="preserve">                                  </w:t>
      </w:r>
      <w:r w:rsidR="0076386A" w:rsidRPr="00A37928">
        <w:rPr>
          <w:rFonts w:ascii="Arial" w:hAnsi="Arial" w:cs="Arial"/>
          <w:b/>
        </w:rPr>
        <w:t>ARRANGEMENT OF SECTIONS</w:t>
      </w:r>
    </w:p>
    <w:p w14:paraId="1C6A8209" w14:textId="77777777" w:rsidR="00D92462" w:rsidRDefault="0076386A">
      <w:pPr>
        <w:spacing w:after="30" w:line="259" w:lineRule="auto"/>
        <w:ind w:left="0" w:right="1067" w:firstLine="0"/>
        <w:jc w:val="center"/>
      </w:pPr>
      <w:r>
        <w:rPr>
          <w:b/>
        </w:rPr>
        <w:t xml:space="preserve"> </w:t>
      </w:r>
      <w:r>
        <w:t xml:space="preserve"> </w:t>
      </w:r>
    </w:p>
    <w:sdt>
      <w:sdtPr>
        <w:rPr>
          <w:rFonts w:ascii="Arial" w:eastAsia="Times New Roman" w:hAnsi="Arial" w:cs="Arial"/>
          <w:color w:val="000000"/>
          <w:sz w:val="22"/>
          <w:szCs w:val="22"/>
          <w:lang w:val="en-GB" w:eastAsia="en-GB"/>
        </w:rPr>
        <w:id w:val="-1775855639"/>
        <w:docPartObj>
          <w:docPartGallery w:val="Table of Contents"/>
          <w:docPartUnique/>
        </w:docPartObj>
      </w:sdtPr>
      <w:sdtEndPr>
        <w:rPr>
          <w:b/>
          <w:bCs/>
          <w:noProof/>
        </w:rPr>
      </w:sdtEndPr>
      <w:sdtContent>
        <w:p w14:paraId="0D65910F" w14:textId="6A75476D" w:rsidR="00405783" w:rsidRPr="00A37928" w:rsidRDefault="00A37928" w:rsidP="00D447BD">
          <w:pPr>
            <w:pStyle w:val="TOCHeading"/>
            <w:tabs>
              <w:tab w:val="left" w:pos="3210"/>
            </w:tabs>
            <w:rPr>
              <w:rFonts w:ascii="Arial" w:hAnsi="Arial" w:cs="Arial"/>
              <w:sz w:val="22"/>
              <w:szCs w:val="22"/>
            </w:rPr>
          </w:pPr>
          <w:r>
            <w:rPr>
              <w:rFonts w:ascii="Arial" w:eastAsia="Times New Roman" w:hAnsi="Arial" w:cs="Arial"/>
              <w:color w:val="000000"/>
              <w:sz w:val="22"/>
              <w:szCs w:val="22"/>
              <w:lang w:val="en-GB" w:eastAsia="en-GB"/>
            </w:rPr>
            <w:t>Section</w:t>
          </w:r>
          <w:r w:rsidR="00D447BD">
            <w:rPr>
              <w:rFonts w:ascii="Arial" w:eastAsia="Times New Roman" w:hAnsi="Arial" w:cs="Arial"/>
              <w:color w:val="000000"/>
              <w:sz w:val="22"/>
              <w:szCs w:val="22"/>
              <w:lang w:val="en-GB" w:eastAsia="en-GB"/>
            </w:rPr>
            <w:tab/>
          </w:r>
        </w:p>
        <w:p w14:paraId="0285D78F" w14:textId="2ADDEE75" w:rsidR="004C433B" w:rsidRDefault="00405783" w:rsidP="00AF1182">
          <w:pPr>
            <w:pStyle w:val="TOC3"/>
            <w:rPr>
              <w:rFonts w:asciiTheme="minorHAnsi" w:eastAsiaTheme="minorEastAsia" w:hAnsiTheme="minorHAnsi" w:cstheme="minorBidi"/>
              <w:noProof/>
              <w:color w:val="auto"/>
              <w:kern w:val="2"/>
              <w14:ligatures w14:val="standardContextual"/>
            </w:rPr>
          </w:pPr>
          <w:r w:rsidRPr="00A37928">
            <w:rPr>
              <w:rFonts w:ascii="Arial" w:hAnsi="Arial" w:cs="Arial"/>
            </w:rPr>
            <w:fldChar w:fldCharType="begin"/>
          </w:r>
          <w:r w:rsidRPr="00A37928">
            <w:rPr>
              <w:rFonts w:ascii="Arial" w:hAnsi="Arial" w:cs="Arial"/>
            </w:rPr>
            <w:instrText xml:space="preserve"> TOC \o "1-3" \h \z \u </w:instrText>
          </w:r>
          <w:r w:rsidRPr="00A37928">
            <w:rPr>
              <w:rFonts w:ascii="Arial" w:hAnsi="Arial" w:cs="Arial"/>
            </w:rPr>
            <w:fldChar w:fldCharType="separate"/>
          </w:r>
          <w:hyperlink w:anchor="_Toc150754287" w:history="1">
            <w:r w:rsidR="004C433B" w:rsidRPr="006F4C86">
              <w:rPr>
                <w:rStyle w:val="Hyperlink"/>
                <w:rFonts w:ascii="Arial" w:eastAsia="Calibri" w:hAnsi="Arial" w:cs="Arial"/>
                <w:noProof/>
              </w:rPr>
              <w:t>1</w:t>
            </w:r>
            <w:r w:rsidR="004C433B">
              <w:rPr>
                <w:rFonts w:asciiTheme="minorHAnsi" w:eastAsiaTheme="minorEastAsia" w:hAnsiTheme="minorHAnsi" w:cstheme="minorBidi"/>
                <w:noProof/>
                <w:color w:val="auto"/>
                <w:kern w:val="2"/>
                <w14:ligatures w14:val="standardContextual"/>
              </w:rPr>
              <w:tab/>
            </w:r>
            <w:r w:rsidR="004C433B" w:rsidRPr="006F4C86">
              <w:rPr>
                <w:rStyle w:val="Hyperlink"/>
                <w:rFonts w:ascii="Arial" w:eastAsia="Arial" w:hAnsi="Arial" w:cs="Arial"/>
                <w:noProof/>
              </w:rPr>
              <w:t>Short title</w:t>
            </w:r>
            <w:r w:rsidR="004C433B">
              <w:rPr>
                <w:noProof/>
                <w:webHidden/>
              </w:rPr>
              <w:tab/>
            </w:r>
            <w:r w:rsidR="004C433B">
              <w:rPr>
                <w:noProof/>
                <w:webHidden/>
              </w:rPr>
              <w:fldChar w:fldCharType="begin"/>
            </w:r>
            <w:r w:rsidR="004C433B">
              <w:rPr>
                <w:noProof/>
                <w:webHidden/>
              </w:rPr>
              <w:instrText xml:space="preserve"> PAGEREF _Toc150754287 \h </w:instrText>
            </w:r>
            <w:r w:rsidR="004C433B">
              <w:rPr>
                <w:noProof/>
                <w:webHidden/>
              </w:rPr>
            </w:r>
            <w:r w:rsidR="004C433B">
              <w:rPr>
                <w:noProof/>
                <w:webHidden/>
              </w:rPr>
              <w:fldChar w:fldCharType="separate"/>
            </w:r>
            <w:r w:rsidR="002F6EFA">
              <w:rPr>
                <w:noProof/>
                <w:webHidden/>
              </w:rPr>
              <w:t>2</w:t>
            </w:r>
            <w:r w:rsidR="004C433B">
              <w:rPr>
                <w:noProof/>
                <w:webHidden/>
              </w:rPr>
              <w:fldChar w:fldCharType="end"/>
            </w:r>
          </w:hyperlink>
        </w:p>
        <w:p w14:paraId="63AB4D35" w14:textId="5FA36107" w:rsidR="004C433B" w:rsidRDefault="009C3B82" w:rsidP="00AF1182">
          <w:pPr>
            <w:pStyle w:val="TOC3"/>
            <w:rPr>
              <w:rFonts w:asciiTheme="minorHAnsi" w:eastAsiaTheme="minorEastAsia" w:hAnsiTheme="minorHAnsi" w:cstheme="minorBidi"/>
              <w:noProof/>
              <w:color w:val="auto"/>
              <w:kern w:val="2"/>
              <w14:ligatures w14:val="standardContextual"/>
            </w:rPr>
          </w:pPr>
          <w:hyperlink w:anchor="_Toc150754288" w:history="1">
            <w:r w:rsidR="004C433B" w:rsidRPr="006F4C86">
              <w:rPr>
                <w:rStyle w:val="Hyperlink"/>
                <w:rFonts w:ascii="Arial" w:hAnsi="Arial" w:cs="Arial"/>
                <w:noProof/>
              </w:rPr>
              <w:t>2</w:t>
            </w:r>
            <w:r w:rsidR="004C433B">
              <w:rPr>
                <w:rFonts w:asciiTheme="minorHAnsi" w:eastAsiaTheme="minorEastAsia" w:hAnsiTheme="minorHAnsi" w:cstheme="minorBidi"/>
                <w:noProof/>
                <w:color w:val="auto"/>
                <w:kern w:val="2"/>
                <w14:ligatures w14:val="standardContextual"/>
              </w:rPr>
              <w:tab/>
            </w:r>
            <w:r w:rsidR="004C433B" w:rsidRPr="006F4C86">
              <w:rPr>
                <w:rStyle w:val="Hyperlink"/>
                <w:rFonts w:ascii="Arial" w:eastAsia="Arial" w:hAnsi="Arial" w:cs="Arial"/>
                <w:noProof/>
              </w:rPr>
              <w:t>Interpretation</w:t>
            </w:r>
            <w:r w:rsidR="004C433B">
              <w:rPr>
                <w:noProof/>
                <w:webHidden/>
              </w:rPr>
              <w:tab/>
            </w:r>
            <w:r w:rsidR="004C433B">
              <w:rPr>
                <w:noProof/>
                <w:webHidden/>
              </w:rPr>
              <w:fldChar w:fldCharType="begin"/>
            </w:r>
            <w:r w:rsidR="004C433B">
              <w:rPr>
                <w:noProof/>
                <w:webHidden/>
              </w:rPr>
              <w:instrText xml:space="preserve"> PAGEREF _Toc150754288 \h </w:instrText>
            </w:r>
            <w:r w:rsidR="004C433B">
              <w:rPr>
                <w:noProof/>
                <w:webHidden/>
              </w:rPr>
            </w:r>
            <w:r w:rsidR="004C433B">
              <w:rPr>
                <w:noProof/>
                <w:webHidden/>
              </w:rPr>
              <w:fldChar w:fldCharType="separate"/>
            </w:r>
            <w:r w:rsidR="002F6EFA">
              <w:rPr>
                <w:noProof/>
                <w:webHidden/>
              </w:rPr>
              <w:t>2</w:t>
            </w:r>
            <w:r w:rsidR="004C433B">
              <w:rPr>
                <w:noProof/>
                <w:webHidden/>
              </w:rPr>
              <w:fldChar w:fldCharType="end"/>
            </w:r>
          </w:hyperlink>
        </w:p>
        <w:p w14:paraId="3DBDD64E" w14:textId="15CE25A7" w:rsidR="004C433B" w:rsidRDefault="009C3B82" w:rsidP="00AF1182">
          <w:pPr>
            <w:pStyle w:val="TOC3"/>
            <w:rPr>
              <w:rFonts w:asciiTheme="minorHAnsi" w:eastAsiaTheme="minorEastAsia" w:hAnsiTheme="minorHAnsi" w:cstheme="minorBidi"/>
              <w:noProof/>
              <w:color w:val="auto"/>
              <w:kern w:val="2"/>
              <w14:ligatures w14:val="standardContextual"/>
            </w:rPr>
          </w:pPr>
          <w:hyperlink w:anchor="_Toc150754289" w:history="1">
            <w:r w:rsidR="004C433B" w:rsidRPr="006F4C86">
              <w:rPr>
                <w:rStyle w:val="Hyperlink"/>
                <w:rFonts w:ascii="Arial" w:eastAsia="Calibri" w:hAnsi="Arial" w:cs="Arial"/>
                <w:noProof/>
              </w:rPr>
              <w:t>3</w:t>
            </w:r>
            <w:r w:rsidR="004C433B">
              <w:rPr>
                <w:rFonts w:asciiTheme="minorHAnsi" w:eastAsiaTheme="minorEastAsia" w:hAnsiTheme="minorHAnsi" w:cstheme="minorBidi"/>
                <w:noProof/>
                <w:color w:val="auto"/>
                <w:kern w:val="2"/>
                <w14:ligatures w14:val="standardContextual"/>
              </w:rPr>
              <w:tab/>
            </w:r>
            <w:r w:rsidR="004C433B" w:rsidRPr="006F4C86">
              <w:rPr>
                <w:rStyle w:val="Hyperlink"/>
                <w:rFonts w:ascii="Arial" w:eastAsia="Arial" w:hAnsi="Arial" w:cs="Arial"/>
                <w:noProof/>
              </w:rPr>
              <w:t>Section 4 of the principal Act amended</w:t>
            </w:r>
            <w:r w:rsidR="004C433B">
              <w:rPr>
                <w:noProof/>
                <w:webHidden/>
              </w:rPr>
              <w:tab/>
            </w:r>
            <w:r w:rsidR="004C433B">
              <w:rPr>
                <w:noProof/>
                <w:webHidden/>
              </w:rPr>
              <w:fldChar w:fldCharType="begin"/>
            </w:r>
            <w:r w:rsidR="004C433B">
              <w:rPr>
                <w:noProof/>
                <w:webHidden/>
              </w:rPr>
              <w:instrText xml:space="preserve"> PAGEREF _Toc150754289 \h </w:instrText>
            </w:r>
            <w:r w:rsidR="004C433B">
              <w:rPr>
                <w:noProof/>
                <w:webHidden/>
              </w:rPr>
            </w:r>
            <w:r w:rsidR="004C433B">
              <w:rPr>
                <w:noProof/>
                <w:webHidden/>
              </w:rPr>
              <w:fldChar w:fldCharType="separate"/>
            </w:r>
            <w:r w:rsidR="002F6EFA">
              <w:rPr>
                <w:noProof/>
                <w:webHidden/>
              </w:rPr>
              <w:t>2</w:t>
            </w:r>
            <w:r w:rsidR="004C433B">
              <w:rPr>
                <w:noProof/>
                <w:webHidden/>
              </w:rPr>
              <w:fldChar w:fldCharType="end"/>
            </w:r>
          </w:hyperlink>
        </w:p>
        <w:p w14:paraId="36D335F8" w14:textId="7F8B99B6" w:rsidR="004C433B" w:rsidRDefault="009C3B82" w:rsidP="00AF1182">
          <w:pPr>
            <w:pStyle w:val="TOC3"/>
            <w:rPr>
              <w:rFonts w:asciiTheme="minorHAnsi" w:eastAsiaTheme="minorEastAsia" w:hAnsiTheme="minorHAnsi" w:cstheme="minorBidi"/>
              <w:noProof/>
              <w:color w:val="auto"/>
              <w:kern w:val="2"/>
              <w14:ligatures w14:val="standardContextual"/>
            </w:rPr>
          </w:pPr>
          <w:hyperlink w:anchor="_Toc150754290" w:history="1">
            <w:r w:rsidR="004C433B" w:rsidRPr="006F4C86">
              <w:rPr>
                <w:rStyle w:val="Hyperlink"/>
                <w:rFonts w:ascii="Arial" w:eastAsia="Calibri" w:hAnsi="Arial" w:cs="Arial"/>
                <w:noProof/>
              </w:rPr>
              <w:t>4</w:t>
            </w:r>
            <w:r w:rsidR="004C433B">
              <w:rPr>
                <w:rFonts w:asciiTheme="minorHAnsi" w:eastAsiaTheme="minorEastAsia" w:hAnsiTheme="minorHAnsi" w:cstheme="minorBidi"/>
                <w:noProof/>
                <w:color w:val="auto"/>
                <w:kern w:val="2"/>
                <w14:ligatures w14:val="standardContextual"/>
              </w:rPr>
              <w:tab/>
            </w:r>
            <w:r w:rsidR="004C433B" w:rsidRPr="006F4C86">
              <w:rPr>
                <w:rStyle w:val="Hyperlink"/>
                <w:rFonts w:ascii="Arial" w:eastAsia="Arial" w:hAnsi="Arial" w:cs="Arial"/>
                <w:noProof/>
              </w:rPr>
              <w:t>Section 18 of the principal Act amended</w:t>
            </w:r>
            <w:r w:rsidR="004C433B">
              <w:rPr>
                <w:noProof/>
                <w:webHidden/>
              </w:rPr>
              <w:tab/>
            </w:r>
            <w:r w:rsidR="004C433B">
              <w:rPr>
                <w:noProof/>
                <w:webHidden/>
              </w:rPr>
              <w:fldChar w:fldCharType="begin"/>
            </w:r>
            <w:r w:rsidR="004C433B">
              <w:rPr>
                <w:noProof/>
                <w:webHidden/>
              </w:rPr>
              <w:instrText xml:space="preserve"> PAGEREF _Toc150754290 \h </w:instrText>
            </w:r>
            <w:r w:rsidR="004C433B">
              <w:rPr>
                <w:noProof/>
                <w:webHidden/>
              </w:rPr>
            </w:r>
            <w:r w:rsidR="004C433B">
              <w:rPr>
                <w:noProof/>
                <w:webHidden/>
              </w:rPr>
              <w:fldChar w:fldCharType="separate"/>
            </w:r>
            <w:r w:rsidR="002F6EFA">
              <w:rPr>
                <w:noProof/>
                <w:webHidden/>
              </w:rPr>
              <w:t>2</w:t>
            </w:r>
            <w:r w:rsidR="004C433B">
              <w:rPr>
                <w:noProof/>
                <w:webHidden/>
              </w:rPr>
              <w:fldChar w:fldCharType="end"/>
            </w:r>
          </w:hyperlink>
        </w:p>
        <w:p w14:paraId="5FCA3772" w14:textId="1302A140" w:rsidR="004C433B" w:rsidRDefault="00D17054" w:rsidP="00AF1182">
          <w:pPr>
            <w:pStyle w:val="TOC3"/>
            <w:rPr>
              <w:rFonts w:asciiTheme="minorHAnsi" w:eastAsiaTheme="minorEastAsia" w:hAnsiTheme="minorHAnsi" w:cstheme="minorBidi"/>
              <w:noProof/>
              <w:color w:val="auto"/>
              <w:kern w:val="2"/>
              <w14:ligatures w14:val="standardContextual"/>
            </w:rPr>
          </w:pPr>
          <w:hyperlink w:anchor="_Toc150754291" w:history="1">
            <w:r w:rsidR="004C433B" w:rsidRPr="006F4C86">
              <w:rPr>
                <w:rStyle w:val="Hyperlink"/>
                <w:rFonts w:ascii="Arial" w:eastAsia="Calibri" w:hAnsi="Arial" w:cs="Arial"/>
                <w:noProof/>
              </w:rPr>
              <w:t>5</w:t>
            </w:r>
            <w:r w:rsidR="004C433B">
              <w:rPr>
                <w:rFonts w:asciiTheme="minorHAnsi" w:eastAsiaTheme="minorEastAsia" w:hAnsiTheme="minorHAnsi" w:cstheme="minorBidi"/>
                <w:noProof/>
                <w:color w:val="auto"/>
                <w:kern w:val="2"/>
                <w14:ligatures w14:val="standardContextual"/>
              </w:rPr>
              <w:tab/>
            </w:r>
            <w:r w:rsidR="004C433B" w:rsidRPr="006F4C86">
              <w:rPr>
                <w:rStyle w:val="Hyperlink"/>
                <w:rFonts w:ascii="Arial" w:eastAsia="Arial" w:hAnsi="Arial" w:cs="Arial"/>
                <w:noProof/>
              </w:rPr>
              <w:t>Section 24 of the principal Act amended</w:t>
            </w:r>
            <w:r w:rsidR="004C433B">
              <w:rPr>
                <w:noProof/>
                <w:webHidden/>
              </w:rPr>
              <w:tab/>
            </w:r>
            <w:r w:rsidR="004C433B">
              <w:rPr>
                <w:noProof/>
                <w:webHidden/>
              </w:rPr>
              <w:fldChar w:fldCharType="begin"/>
            </w:r>
            <w:r w:rsidR="004C433B">
              <w:rPr>
                <w:noProof/>
                <w:webHidden/>
              </w:rPr>
              <w:instrText xml:space="preserve"> PAGEREF _Toc150754291 \h </w:instrText>
            </w:r>
            <w:r w:rsidR="004C433B">
              <w:rPr>
                <w:noProof/>
                <w:webHidden/>
              </w:rPr>
            </w:r>
            <w:r w:rsidR="004C433B">
              <w:rPr>
                <w:noProof/>
                <w:webHidden/>
              </w:rPr>
              <w:fldChar w:fldCharType="separate"/>
            </w:r>
            <w:r w:rsidR="002F6EFA">
              <w:rPr>
                <w:noProof/>
                <w:webHidden/>
              </w:rPr>
              <w:t>2</w:t>
            </w:r>
            <w:r w:rsidR="004C433B">
              <w:rPr>
                <w:noProof/>
                <w:webHidden/>
              </w:rPr>
              <w:fldChar w:fldCharType="end"/>
            </w:r>
          </w:hyperlink>
        </w:p>
        <w:p w14:paraId="6BBDEDC6" w14:textId="66F0CAA5" w:rsidR="004C433B" w:rsidRDefault="00D17054" w:rsidP="00AF1182">
          <w:pPr>
            <w:pStyle w:val="TOC3"/>
            <w:rPr>
              <w:rFonts w:asciiTheme="minorHAnsi" w:eastAsiaTheme="minorEastAsia" w:hAnsiTheme="minorHAnsi" w:cstheme="minorBidi"/>
              <w:noProof/>
              <w:color w:val="auto"/>
              <w:kern w:val="2"/>
              <w14:ligatures w14:val="standardContextual"/>
            </w:rPr>
          </w:pPr>
          <w:hyperlink w:anchor="_Toc150754292" w:history="1">
            <w:r w:rsidR="004C433B" w:rsidRPr="006F4C86">
              <w:rPr>
                <w:rStyle w:val="Hyperlink"/>
                <w:rFonts w:ascii="Arial" w:eastAsia="Calibri" w:hAnsi="Arial" w:cs="Arial"/>
                <w:noProof/>
              </w:rPr>
              <w:t>6</w:t>
            </w:r>
            <w:r w:rsidR="004C433B">
              <w:rPr>
                <w:rFonts w:asciiTheme="minorHAnsi" w:eastAsiaTheme="minorEastAsia" w:hAnsiTheme="minorHAnsi" w:cstheme="minorBidi"/>
                <w:noProof/>
                <w:color w:val="auto"/>
                <w:kern w:val="2"/>
                <w14:ligatures w14:val="standardContextual"/>
              </w:rPr>
              <w:tab/>
            </w:r>
            <w:r w:rsidR="004C433B" w:rsidRPr="006F4C86">
              <w:rPr>
                <w:rStyle w:val="Hyperlink"/>
                <w:rFonts w:ascii="Arial" w:eastAsia="Arial" w:hAnsi="Arial" w:cs="Arial"/>
                <w:noProof/>
              </w:rPr>
              <w:t>Section 29 of the principal Act amended</w:t>
            </w:r>
            <w:r w:rsidR="004C433B">
              <w:rPr>
                <w:noProof/>
                <w:webHidden/>
              </w:rPr>
              <w:tab/>
            </w:r>
            <w:r w:rsidR="004C433B">
              <w:rPr>
                <w:noProof/>
                <w:webHidden/>
              </w:rPr>
              <w:fldChar w:fldCharType="begin"/>
            </w:r>
            <w:r w:rsidR="004C433B">
              <w:rPr>
                <w:noProof/>
                <w:webHidden/>
              </w:rPr>
              <w:instrText xml:space="preserve"> PAGEREF _Toc150754292 \h </w:instrText>
            </w:r>
            <w:r w:rsidR="004C433B">
              <w:rPr>
                <w:noProof/>
                <w:webHidden/>
              </w:rPr>
            </w:r>
            <w:r w:rsidR="004C433B">
              <w:rPr>
                <w:noProof/>
                <w:webHidden/>
              </w:rPr>
              <w:fldChar w:fldCharType="separate"/>
            </w:r>
            <w:r w:rsidR="002F6EFA">
              <w:rPr>
                <w:noProof/>
                <w:webHidden/>
              </w:rPr>
              <w:t>2</w:t>
            </w:r>
            <w:r w:rsidR="004C433B">
              <w:rPr>
                <w:noProof/>
                <w:webHidden/>
              </w:rPr>
              <w:fldChar w:fldCharType="end"/>
            </w:r>
          </w:hyperlink>
        </w:p>
        <w:p w14:paraId="7057AB34" w14:textId="3E9B1733" w:rsidR="004C433B" w:rsidRDefault="00D17054" w:rsidP="00AF1182">
          <w:pPr>
            <w:pStyle w:val="TOC3"/>
            <w:rPr>
              <w:rFonts w:asciiTheme="minorHAnsi" w:eastAsiaTheme="minorEastAsia" w:hAnsiTheme="minorHAnsi" w:cstheme="minorBidi"/>
              <w:noProof/>
              <w:color w:val="auto"/>
              <w:kern w:val="2"/>
              <w14:ligatures w14:val="standardContextual"/>
            </w:rPr>
          </w:pPr>
          <w:hyperlink w:anchor="_Toc150754293" w:history="1">
            <w:r w:rsidR="004C433B" w:rsidRPr="006F4C86">
              <w:rPr>
                <w:rStyle w:val="Hyperlink"/>
                <w:rFonts w:ascii="Arial" w:eastAsia="Calibri" w:hAnsi="Arial" w:cs="Arial"/>
                <w:noProof/>
              </w:rPr>
              <w:t>7</w:t>
            </w:r>
            <w:r w:rsidR="004C433B">
              <w:rPr>
                <w:rFonts w:asciiTheme="minorHAnsi" w:eastAsiaTheme="minorEastAsia" w:hAnsiTheme="minorHAnsi" w:cstheme="minorBidi"/>
                <w:noProof/>
                <w:color w:val="auto"/>
                <w:kern w:val="2"/>
                <w14:ligatures w14:val="standardContextual"/>
              </w:rPr>
              <w:tab/>
            </w:r>
            <w:r w:rsidR="004C433B" w:rsidRPr="006F4C86">
              <w:rPr>
                <w:rStyle w:val="Hyperlink"/>
                <w:rFonts w:ascii="Arial" w:eastAsia="Arial" w:hAnsi="Arial" w:cs="Arial"/>
                <w:noProof/>
              </w:rPr>
              <w:t>Section 34 of the principal Act amended</w:t>
            </w:r>
            <w:r w:rsidR="004C433B">
              <w:rPr>
                <w:noProof/>
                <w:webHidden/>
              </w:rPr>
              <w:tab/>
            </w:r>
            <w:r w:rsidR="004C433B">
              <w:rPr>
                <w:noProof/>
                <w:webHidden/>
              </w:rPr>
              <w:fldChar w:fldCharType="begin"/>
            </w:r>
            <w:r w:rsidR="004C433B">
              <w:rPr>
                <w:noProof/>
                <w:webHidden/>
              </w:rPr>
              <w:instrText xml:space="preserve"> PAGEREF _Toc150754293 \h </w:instrText>
            </w:r>
            <w:r w:rsidR="004C433B">
              <w:rPr>
                <w:noProof/>
                <w:webHidden/>
              </w:rPr>
            </w:r>
            <w:r w:rsidR="004C433B">
              <w:rPr>
                <w:noProof/>
                <w:webHidden/>
              </w:rPr>
              <w:fldChar w:fldCharType="separate"/>
            </w:r>
            <w:r w:rsidR="002F6EFA">
              <w:rPr>
                <w:noProof/>
                <w:webHidden/>
              </w:rPr>
              <w:t>2</w:t>
            </w:r>
            <w:r w:rsidR="004C433B">
              <w:rPr>
                <w:noProof/>
                <w:webHidden/>
              </w:rPr>
              <w:fldChar w:fldCharType="end"/>
            </w:r>
          </w:hyperlink>
        </w:p>
        <w:p w14:paraId="6E4FE7D8" w14:textId="028D743B" w:rsidR="004C433B" w:rsidRDefault="009C3B82" w:rsidP="00AF1182">
          <w:pPr>
            <w:pStyle w:val="TOC3"/>
            <w:rPr>
              <w:rFonts w:asciiTheme="minorHAnsi" w:eastAsiaTheme="minorEastAsia" w:hAnsiTheme="minorHAnsi" w:cstheme="minorBidi"/>
              <w:noProof/>
              <w:color w:val="auto"/>
              <w:kern w:val="2"/>
              <w14:ligatures w14:val="standardContextual"/>
            </w:rPr>
          </w:pPr>
          <w:hyperlink w:anchor="_Toc150754294" w:history="1">
            <w:r w:rsidR="004C433B" w:rsidRPr="006F4C86">
              <w:rPr>
                <w:rStyle w:val="Hyperlink"/>
                <w:rFonts w:ascii="Arial" w:eastAsia="Calibri" w:hAnsi="Arial" w:cs="Arial"/>
                <w:noProof/>
              </w:rPr>
              <w:t>8.</w:t>
            </w:r>
            <w:r w:rsidR="004C433B">
              <w:rPr>
                <w:rFonts w:asciiTheme="minorHAnsi" w:eastAsiaTheme="minorEastAsia" w:hAnsiTheme="minorHAnsi" w:cstheme="minorBidi"/>
                <w:noProof/>
                <w:color w:val="auto"/>
                <w:kern w:val="2"/>
                <w14:ligatures w14:val="standardContextual"/>
              </w:rPr>
              <w:tab/>
            </w:r>
            <w:r w:rsidR="004C433B" w:rsidRPr="006F4C86">
              <w:rPr>
                <w:rStyle w:val="Hyperlink"/>
                <w:rFonts w:ascii="Arial" w:eastAsia="Arial" w:hAnsi="Arial" w:cs="Arial"/>
                <w:noProof/>
              </w:rPr>
              <w:t>Section 42 of the principal Act amended</w:t>
            </w:r>
            <w:r w:rsidR="004C433B">
              <w:rPr>
                <w:noProof/>
                <w:webHidden/>
              </w:rPr>
              <w:tab/>
            </w:r>
            <w:r w:rsidR="004C433B">
              <w:rPr>
                <w:noProof/>
                <w:webHidden/>
              </w:rPr>
              <w:fldChar w:fldCharType="begin"/>
            </w:r>
            <w:r w:rsidR="004C433B">
              <w:rPr>
                <w:noProof/>
                <w:webHidden/>
              </w:rPr>
              <w:instrText xml:space="preserve"> PAGEREF _Toc150754294 \h </w:instrText>
            </w:r>
            <w:r w:rsidR="004C433B">
              <w:rPr>
                <w:noProof/>
                <w:webHidden/>
              </w:rPr>
            </w:r>
            <w:r w:rsidR="004C433B">
              <w:rPr>
                <w:noProof/>
                <w:webHidden/>
              </w:rPr>
              <w:fldChar w:fldCharType="separate"/>
            </w:r>
            <w:r w:rsidR="002F6EFA">
              <w:rPr>
                <w:noProof/>
                <w:webHidden/>
              </w:rPr>
              <w:t>3</w:t>
            </w:r>
            <w:r w:rsidR="004C433B">
              <w:rPr>
                <w:noProof/>
                <w:webHidden/>
              </w:rPr>
              <w:fldChar w:fldCharType="end"/>
            </w:r>
          </w:hyperlink>
        </w:p>
        <w:p w14:paraId="0A7E3059" w14:textId="5ED5D1A6" w:rsidR="004C433B" w:rsidRDefault="00D17054" w:rsidP="00AF1182">
          <w:pPr>
            <w:pStyle w:val="TOC3"/>
            <w:rPr>
              <w:rFonts w:asciiTheme="minorHAnsi" w:eastAsiaTheme="minorEastAsia" w:hAnsiTheme="minorHAnsi" w:cstheme="minorBidi"/>
              <w:noProof/>
              <w:color w:val="auto"/>
              <w:kern w:val="2"/>
              <w14:ligatures w14:val="standardContextual"/>
            </w:rPr>
          </w:pPr>
          <w:hyperlink w:anchor="_Toc150754295" w:history="1">
            <w:r w:rsidR="004C433B" w:rsidRPr="006F4C86">
              <w:rPr>
                <w:rStyle w:val="Hyperlink"/>
                <w:rFonts w:ascii="Arial" w:eastAsia="Calibri" w:hAnsi="Arial" w:cs="Arial"/>
                <w:noProof/>
              </w:rPr>
              <w:t>9.</w:t>
            </w:r>
            <w:r w:rsidR="004C433B">
              <w:rPr>
                <w:rFonts w:asciiTheme="minorHAnsi" w:eastAsiaTheme="minorEastAsia" w:hAnsiTheme="minorHAnsi" w:cstheme="minorBidi"/>
                <w:noProof/>
                <w:color w:val="auto"/>
                <w:kern w:val="2"/>
                <w14:ligatures w14:val="standardContextual"/>
              </w:rPr>
              <w:tab/>
            </w:r>
            <w:r w:rsidR="004C433B" w:rsidRPr="006F4C86">
              <w:rPr>
                <w:rStyle w:val="Hyperlink"/>
                <w:rFonts w:ascii="Arial" w:eastAsia="Arial" w:hAnsi="Arial" w:cs="Arial"/>
                <w:noProof/>
              </w:rPr>
              <w:t>Section 44 of the principal Act amended</w:t>
            </w:r>
            <w:r w:rsidR="004C433B">
              <w:rPr>
                <w:noProof/>
                <w:webHidden/>
              </w:rPr>
              <w:tab/>
            </w:r>
            <w:r w:rsidR="004C433B">
              <w:rPr>
                <w:noProof/>
                <w:webHidden/>
              </w:rPr>
              <w:fldChar w:fldCharType="begin"/>
            </w:r>
            <w:r w:rsidR="004C433B">
              <w:rPr>
                <w:noProof/>
                <w:webHidden/>
              </w:rPr>
              <w:instrText xml:space="preserve"> PAGEREF _Toc150754295 \h </w:instrText>
            </w:r>
            <w:r w:rsidR="004C433B">
              <w:rPr>
                <w:noProof/>
                <w:webHidden/>
              </w:rPr>
            </w:r>
            <w:r w:rsidR="004C433B">
              <w:rPr>
                <w:noProof/>
                <w:webHidden/>
              </w:rPr>
              <w:fldChar w:fldCharType="separate"/>
            </w:r>
            <w:r w:rsidR="002F6EFA">
              <w:rPr>
                <w:noProof/>
                <w:webHidden/>
              </w:rPr>
              <w:t>3</w:t>
            </w:r>
            <w:r w:rsidR="004C433B">
              <w:rPr>
                <w:noProof/>
                <w:webHidden/>
              </w:rPr>
              <w:fldChar w:fldCharType="end"/>
            </w:r>
          </w:hyperlink>
        </w:p>
        <w:p w14:paraId="261188F2" w14:textId="4BD8AA24" w:rsidR="004C433B" w:rsidRDefault="00D17054" w:rsidP="00AF1182">
          <w:pPr>
            <w:pStyle w:val="TOC3"/>
            <w:rPr>
              <w:rFonts w:asciiTheme="minorHAnsi" w:eastAsiaTheme="minorEastAsia" w:hAnsiTheme="minorHAnsi" w:cstheme="minorBidi"/>
              <w:noProof/>
              <w:color w:val="auto"/>
              <w:kern w:val="2"/>
              <w14:ligatures w14:val="standardContextual"/>
            </w:rPr>
          </w:pPr>
          <w:hyperlink w:anchor="_Toc150754296" w:history="1">
            <w:r w:rsidR="004C433B" w:rsidRPr="006F4C86">
              <w:rPr>
                <w:rStyle w:val="Hyperlink"/>
                <w:rFonts w:ascii="Arial" w:eastAsia="Calibri" w:hAnsi="Arial" w:cs="Arial"/>
                <w:noProof/>
              </w:rPr>
              <w:t>10</w:t>
            </w:r>
            <w:r w:rsidR="004C433B">
              <w:rPr>
                <w:rFonts w:asciiTheme="minorHAnsi" w:eastAsiaTheme="minorEastAsia" w:hAnsiTheme="minorHAnsi" w:cstheme="minorBidi"/>
                <w:noProof/>
                <w:color w:val="auto"/>
                <w:kern w:val="2"/>
                <w14:ligatures w14:val="standardContextual"/>
              </w:rPr>
              <w:tab/>
            </w:r>
            <w:r w:rsidR="004C433B" w:rsidRPr="006F4C86">
              <w:rPr>
                <w:rStyle w:val="Hyperlink"/>
                <w:rFonts w:ascii="Arial" w:eastAsia="Arial" w:hAnsi="Arial" w:cs="Arial"/>
                <w:noProof/>
              </w:rPr>
              <w:t>Section 50 of the principal Act amended</w:t>
            </w:r>
            <w:r w:rsidR="004C433B">
              <w:rPr>
                <w:noProof/>
                <w:webHidden/>
              </w:rPr>
              <w:tab/>
            </w:r>
            <w:r w:rsidR="004C433B">
              <w:rPr>
                <w:noProof/>
                <w:webHidden/>
              </w:rPr>
              <w:fldChar w:fldCharType="begin"/>
            </w:r>
            <w:r w:rsidR="004C433B">
              <w:rPr>
                <w:noProof/>
                <w:webHidden/>
              </w:rPr>
              <w:instrText xml:space="preserve"> PAGEREF _Toc150754296 \h </w:instrText>
            </w:r>
            <w:r w:rsidR="004C433B">
              <w:rPr>
                <w:noProof/>
                <w:webHidden/>
              </w:rPr>
            </w:r>
            <w:r w:rsidR="004C433B">
              <w:rPr>
                <w:noProof/>
                <w:webHidden/>
              </w:rPr>
              <w:fldChar w:fldCharType="separate"/>
            </w:r>
            <w:r w:rsidR="002F6EFA">
              <w:rPr>
                <w:noProof/>
                <w:webHidden/>
              </w:rPr>
              <w:t>3</w:t>
            </w:r>
            <w:r w:rsidR="004C433B">
              <w:rPr>
                <w:noProof/>
                <w:webHidden/>
              </w:rPr>
              <w:fldChar w:fldCharType="end"/>
            </w:r>
          </w:hyperlink>
        </w:p>
        <w:p w14:paraId="09BF71C0" w14:textId="2474D0A3" w:rsidR="004C433B" w:rsidRDefault="009C3B82" w:rsidP="00AF1182">
          <w:pPr>
            <w:pStyle w:val="TOC3"/>
            <w:rPr>
              <w:rFonts w:asciiTheme="minorHAnsi" w:eastAsiaTheme="minorEastAsia" w:hAnsiTheme="minorHAnsi" w:cstheme="minorBidi"/>
              <w:noProof/>
              <w:color w:val="auto"/>
              <w:kern w:val="2"/>
              <w14:ligatures w14:val="standardContextual"/>
            </w:rPr>
          </w:pPr>
          <w:hyperlink w:anchor="_Toc150754297" w:history="1">
            <w:r w:rsidR="004C433B" w:rsidRPr="006F4C86">
              <w:rPr>
                <w:rStyle w:val="Hyperlink"/>
                <w:rFonts w:ascii="Arial" w:eastAsia="Calibri" w:hAnsi="Arial" w:cs="Arial"/>
                <w:noProof/>
              </w:rPr>
              <w:t>11</w:t>
            </w:r>
            <w:r w:rsidR="004C433B">
              <w:rPr>
                <w:rFonts w:asciiTheme="minorHAnsi" w:eastAsiaTheme="minorEastAsia" w:hAnsiTheme="minorHAnsi" w:cstheme="minorBidi"/>
                <w:noProof/>
                <w:color w:val="auto"/>
                <w:kern w:val="2"/>
                <w14:ligatures w14:val="standardContextual"/>
              </w:rPr>
              <w:tab/>
            </w:r>
            <w:r w:rsidR="004C433B" w:rsidRPr="006F4C86">
              <w:rPr>
                <w:rStyle w:val="Hyperlink"/>
                <w:rFonts w:ascii="Arial" w:eastAsia="Arial" w:hAnsi="Arial" w:cs="Arial"/>
                <w:noProof/>
              </w:rPr>
              <w:t>Section 53 of the principal Act amended</w:t>
            </w:r>
            <w:r w:rsidR="004C433B">
              <w:rPr>
                <w:noProof/>
                <w:webHidden/>
              </w:rPr>
              <w:tab/>
            </w:r>
            <w:r w:rsidR="004C433B">
              <w:rPr>
                <w:noProof/>
                <w:webHidden/>
              </w:rPr>
              <w:fldChar w:fldCharType="begin"/>
            </w:r>
            <w:r w:rsidR="004C433B">
              <w:rPr>
                <w:noProof/>
                <w:webHidden/>
              </w:rPr>
              <w:instrText xml:space="preserve"> PAGEREF _Toc150754297 \h </w:instrText>
            </w:r>
            <w:r w:rsidR="004C433B">
              <w:rPr>
                <w:noProof/>
                <w:webHidden/>
              </w:rPr>
            </w:r>
            <w:r w:rsidR="004C433B">
              <w:rPr>
                <w:noProof/>
                <w:webHidden/>
              </w:rPr>
              <w:fldChar w:fldCharType="separate"/>
            </w:r>
            <w:r w:rsidR="002F6EFA">
              <w:rPr>
                <w:noProof/>
                <w:webHidden/>
              </w:rPr>
              <w:t>4</w:t>
            </w:r>
            <w:r w:rsidR="004C433B">
              <w:rPr>
                <w:noProof/>
                <w:webHidden/>
              </w:rPr>
              <w:fldChar w:fldCharType="end"/>
            </w:r>
          </w:hyperlink>
        </w:p>
        <w:p w14:paraId="107B9151" w14:textId="0999B1BB" w:rsidR="004C433B" w:rsidRDefault="009C3B82" w:rsidP="00AF1182">
          <w:pPr>
            <w:pStyle w:val="TOC3"/>
            <w:rPr>
              <w:rFonts w:asciiTheme="minorHAnsi" w:eastAsiaTheme="minorEastAsia" w:hAnsiTheme="minorHAnsi" w:cstheme="minorBidi"/>
              <w:noProof/>
              <w:color w:val="auto"/>
              <w:kern w:val="2"/>
              <w14:ligatures w14:val="standardContextual"/>
            </w:rPr>
          </w:pPr>
          <w:hyperlink w:anchor="_Toc150754298" w:history="1">
            <w:r w:rsidR="004C433B" w:rsidRPr="006F4C86">
              <w:rPr>
                <w:rStyle w:val="Hyperlink"/>
                <w:rFonts w:ascii="Arial" w:eastAsia="Calibri" w:hAnsi="Arial" w:cs="Arial"/>
                <w:noProof/>
              </w:rPr>
              <w:t>12</w:t>
            </w:r>
            <w:r w:rsidR="004C433B">
              <w:rPr>
                <w:rFonts w:asciiTheme="minorHAnsi" w:eastAsiaTheme="minorEastAsia" w:hAnsiTheme="minorHAnsi" w:cstheme="minorBidi"/>
                <w:noProof/>
                <w:color w:val="auto"/>
                <w:kern w:val="2"/>
                <w14:ligatures w14:val="standardContextual"/>
              </w:rPr>
              <w:tab/>
            </w:r>
            <w:r w:rsidR="004C433B" w:rsidRPr="006F4C86">
              <w:rPr>
                <w:rStyle w:val="Hyperlink"/>
                <w:rFonts w:ascii="Arial" w:eastAsia="Arial" w:hAnsi="Arial" w:cs="Arial"/>
                <w:noProof/>
              </w:rPr>
              <w:t>Commencement</w:t>
            </w:r>
            <w:r w:rsidR="004C433B">
              <w:rPr>
                <w:noProof/>
                <w:webHidden/>
              </w:rPr>
              <w:tab/>
            </w:r>
            <w:r w:rsidR="004C433B">
              <w:rPr>
                <w:noProof/>
                <w:webHidden/>
              </w:rPr>
              <w:fldChar w:fldCharType="begin"/>
            </w:r>
            <w:r w:rsidR="004C433B">
              <w:rPr>
                <w:noProof/>
                <w:webHidden/>
              </w:rPr>
              <w:instrText xml:space="preserve"> PAGEREF _Toc150754298 \h </w:instrText>
            </w:r>
            <w:r w:rsidR="004C433B">
              <w:rPr>
                <w:noProof/>
                <w:webHidden/>
              </w:rPr>
            </w:r>
            <w:r w:rsidR="004C433B">
              <w:rPr>
                <w:noProof/>
                <w:webHidden/>
              </w:rPr>
              <w:fldChar w:fldCharType="separate"/>
            </w:r>
            <w:r w:rsidR="002F6EFA">
              <w:rPr>
                <w:noProof/>
                <w:webHidden/>
              </w:rPr>
              <w:t>4</w:t>
            </w:r>
            <w:r w:rsidR="004C433B">
              <w:rPr>
                <w:noProof/>
                <w:webHidden/>
              </w:rPr>
              <w:fldChar w:fldCharType="end"/>
            </w:r>
          </w:hyperlink>
        </w:p>
        <w:p w14:paraId="0C7AA34D" w14:textId="35F5EA73" w:rsidR="00405783" w:rsidRPr="00A37928" w:rsidRDefault="00405783">
          <w:pPr>
            <w:rPr>
              <w:rFonts w:ascii="Arial" w:hAnsi="Arial" w:cs="Arial"/>
            </w:rPr>
          </w:pPr>
          <w:r w:rsidRPr="00A37928">
            <w:rPr>
              <w:rFonts w:ascii="Arial" w:hAnsi="Arial" w:cs="Arial"/>
              <w:b/>
              <w:bCs/>
              <w:noProof/>
            </w:rPr>
            <w:fldChar w:fldCharType="end"/>
          </w:r>
        </w:p>
      </w:sdtContent>
    </w:sdt>
    <w:p w14:paraId="240BF323" w14:textId="5C2EFDA1" w:rsidR="00405783" w:rsidRDefault="00405783">
      <w:pPr>
        <w:spacing w:after="160" w:line="259" w:lineRule="auto"/>
        <w:ind w:left="0" w:right="0" w:firstLine="0"/>
        <w:jc w:val="left"/>
        <w:rPr>
          <w:b/>
        </w:rPr>
      </w:pPr>
      <w:r>
        <w:rPr>
          <w:b/>
        </w:rPr>
        <w:br w:type="page"/>
      </w:r>
    </w:p>
    <w:p w14:paraId="77088445" w14:textId="77777777" w:rsidR="00E236B5" w:rsidRDefault="0076386A">
      <w:pPr>
        <w:spacing w:after="404" w:line="250" w:lineRule="auto"/>
        <w:ind w:left="588" w:right="1150" w:hanging="10"/>
        <w:jc w:val="center"/>
        <w:rPr>
          <w:rFonts w:ascii="Arial" w:hAnsi="Arial" w:cs="Arial"/>
          <w:b/>
        </w:rPr>
      </w:pPr>
      <w:r w:rsidRPr="007532B4">
        <w:rPr>
          <w:rFonts w:ascii="Arial" w:hAnsi="Arial" w:cs="Arial"/>
          <w:b/>
        </w:rPr>
        <w:lastRenderedPageBreak/>
        <w:t xml:space="preserve">FINANCIAL SERVICES </w:t>
      </w:r>
      <w:r w:rsidR="002A4FD3" w:rsidRPr="007532B4">
        <w:rPr>
          <w:rFonts w:ascii="Arial" w:hAnsi="Arial" w:cs="Arial"/>
          <w:b/>
        </w:rPr>
        <w:t>(AMENDMENT)</w:t>
      </w:r>
      <w:r w:rsidR="00D447BD">
        <w:rPr>
          <w:rFonts w:ascii="Arial" w:hAnsi="Arial" w:cs="Arial"/>
          <w:b/>
        </w:rPr>
        <w:t xml:space="preserve"> </w:t>
      </w:r>
      <w:r w:rsidRPr="007532B4">
        <w:rPr>
          <w:rFonts w:ascii="Arial" w:hAnsi="Arial" w:cs="Arial"/>
          <w:b/>
        </w:rPr>
        <w:t xml:space="preserve">ACT </w:t>
      </w:r>
      <w:r w:rsidR="002A4FD3" w:rsidRPr="007532B4">
        <w:rPr>
          <w:rFonts w:ascii="Arial" w:hAnsi="Arial" w:cs="Arial"/>
          <w:b/>
        </w:rPr>
        <w:t>2023</w:t>
      </w:r>
    </w:p>
    <w:p w14:paraId="54692756" w14:textId="5247FEB3" w:rsidR="00D92462" w:rsidRPr="007532B4" w:rsidRDefault="00E236B5">
      <w:pPr>
        <w:spacing w:after="404" w:line="250" w:lineRule="auto"/>
        <w:ind w:left="588" w:right="1150" w:hanging="10"/>
        <w:jc w:val="center"/>
        <w:rPr>
          <w:rFonts w:ascii="Arial" w:hAnsi="Arial" w:cs="Arial"/>
        </w:rPr>
      </w:pPr>
      <w:r>
        <w:rPr>
          <w:rFonts w:ascii="Arial" w:hAnsi="Arial" w:cs="Arial"/>
          <w:b/>
        </w:rPr>
        <w:t>An Act to amend the Financial Services Act 2007</w:t>
      </w:r>
    </w:p>
    <w:p w14:paraId="2AFA3F78" w14:textId="666313F6" w:rsidR="000472EC" w:rsidRPr="0024081B" w:rsidRDefault="000472EC" w:rsidP="00E346DD">
      <w:pPr>
        <w:pStyle w:val="iLAWS300Article"/>
        <w:rPr>
          <w:rFonts w:ascii="Arial" w:hAnsi="Arial" w:cs="Arial"/>
        </w:rPr>
      </w:pPr>
      <w:bookmarkStart w:id="0" w:name="_Toc150754287"/>
      <w:r w:rsidRPr="0024081B">
        <w:rPr>
          <w:rFonts w:ascii="Arial" w:eastAsia="Calibri" w:hAnsi="Arial" w:cs="Arial"/>
        </w:rPr>
        <w:t>1</w:t>
      </w:r>
      <w:r w:rsidRPr="0024081B">
        <w:rPr>
          <w:rFonts w:ascii="Arial" w:eastAsia="Arial" w:hAnsi="Arial" w:cs="Arial"/>
        </w:rPr>
        <w:tab/>
      </w:r>
      <w:r w:rsidR="00667EC7" w:rsidRPr="0024081B">
        <w:rPr>
          <w:rFonts w:ascii="Arial" w:eastAsia="Arial" w:hAnsi="Arial" w:cs="Arial"/>
        </w:rPr>
        <w:t>Short title</w:t>
      </w:r>
      <w:bookmarkEnd w:id="0"/>
    </w:p>
    <w:p w14:paraId="7C8A210E" w14:textId="6A3C8625" w:rsidR="00D92462" w:rsidRDefault="0076386A" w:rsidP="0024081B">
      <w:pPr>
        <w:spacing w:before="240" w:after="120" w:line="247" w:lineRule="auto"/>
        <w:ind w:left="6" w:right="1185" w:firstLine="561"/>
      </w:pPr>
      <w:r>
        <w:t xml:space="preserve">This Act may be cited as the </w:t>
      </w:r>
      <w:r w:rsidR="00896BD7">
        <w:t xml:space="preserve">Financial </w:t>
      </w:r>
      <w:r w:rsidR="002A4FD3">
        <w:t xml:space="preserve">Services </w:t>
      </w:r>
      <w:r w:rsidR="0059774C">
        <w:t xml:space="preserve">(Amendment) </w:t>
      </w:r>
      <w:r>
        <w:t>Act</w:t>
      </w:r>
      <w:r w:rsidR="00F75B0A">
        <w:t xml:space="preserve"> 2023</w:t>
      </w:r>
      <w:r>
        <w:t>.</w:t>
      </w:r>
    </w:p>
    <w:p w14:paraId="5A23225A" w14:textId="0201A088" w:rsidR="00D92462" w:rsidRPr="00E346DD" w:rsidRDefault="0076386A" w:rsidP="00E346DD">
      <w:pPr>
        <w:pStyle w:val="iLAWS300Article"/>
        <w:rPr>
          <w:rFonts w:ascii="Arial" w:hAnsi="Arial" w:cs="Arial"/>
        </w:rPr>
      </w:pPr>
      <w:bookmarkStart w:id="1" w:name="_Toc150754288"/>
      <w:r w:rsidRPr="00E346DD">
        <w:rPr>
          <w:rFonts w:ascii="Arial" w:hAnsi="Arial" w:cs="Arial"/>
        </w:rPr>
        <w:t>2</w:t>
      </w:r>
      <w:r w:rsidR="00D31E80" w:rsidRPr="00E346DD">
        <w:rPr>
          <w:rFonts w:ascii="Arial" w:hAnsi="Arial" w:cs="Arial"/>
        </w:rPr>
        <w:tab/>
      </w:r>
      <w:r w:rsidR="00817CB6" w:rsidRPr="00E346DD">
        <w:rPr>
          <w:rFonts w:ascii="Arial" w:eastAsia="Arial" w:hAnsi="Arial" w:cs="Arial"/>
        </w:rPr>
        <w:t>Interpretation</w:t>
      </w:r>
      <w:bookmarkEnd w:id="1"/>
    </w:p>
    <w:p w14:paraId="23B3E0C2" w14:textId="14AA5A56" w:rsidR="00F75B0A" w:rsidRDefault="0076386A" w:rsidP="0024081B">
      <w:pPr>
        <w:tabs>
          <w:tab w:val="left" w:pos="567"/>
        </w:tabs>
        <w:spacing w:before="240" w:after="120" w:line="247" w:lineRule="auto"/>
        <w:ind w:left="567" w:right="1185" w:firstLine="0"/>
      </w:pPr>
      <w:r>
        <w:t>I</w:t>
      </w:r>
      <w:r w:rsidR="00001E30">
        <w:t>n</w:t>
      </w:r>
      <w:r>
        <w:t xml:space="preserve"> this Act—</w:t>
      </w:r>
    </w:p>
    <w:p w14:paraId="7054475F" w14:textId="0A369A2D" w:rsidR="00D92462" w:rsidRDefault="00F75B0A" w:rsidP="0024081B">
      <w:pPr>
        <w:spacing w:after="356" w:line="247" w:lineRule="auto"/>
        <w:ind w:left="567" w:right="1185" w:firstLine="0"/>
      </w:pPr>
      <w:r>
        <w:t xml:space="preserve">“principal Act” </w:t>
      </w:r>
      <w:r w:rsidR="0076596A">
        <w:t>means</w:t>
      </w:r>
      <w:r>
        <w:t xml:space="preserve"> the </w:t>
      </w:r>
      <w:r w:rsidR="002A4FD3">
        <w:t xml:space="preserve">Financial Services </w:t>
      </w:r>
      <w:r>
        <w:t>Act</w:t>
      </w:r>
      <w:r w:rsidR="00AF1182">
        <w:t xml:space="preserve"> 2007</w:t>
      </w:r>
      <w:r>
        <w:t>.</w:t>
      </w:r>
    </w:p>
    <w:p w14:paraId="46753143" w14:textId="2377E337" w:rsidR="00572EEF" w:rsidRDefault="00481939" w:rsidP="009C3B82">
      <w:pPr>
        <w:pStyle w:val="iLAWS300Article"/>
      </w:pPr>
      <w:bookmarkStart w:id="2" w:name="_Toc150754289"/>
      <w:r w:rsidRPr="00E346DD">
        <w:rPr>
          <w:rFonts w:ascii="Arial" w:eastAsia="Calibri" w:hAnsi="Arial" w:cs="Arial"/>
        </w:rPr>
        <w:t>3</w:t>
      </w:r>
      <w:r w:rsidRPr="00E346DD">
        <w:rPr>
          <w:rFonts w:ascii="Arial" w:eastAsia="Calibri" w:hAnsi="Arial" w:cs="Arial"/>
        </w:rPr>
        <w:tab/>
      </w:r>
      <w:bookmarkEnd w:id="2"/>
      <w:r w:rsidR="002F6EFA">
        <w:rPr>
          <w:rFonts w:ascii="Arial" w:eastAsia="Arial" w:hAnsi="Arial" w:cs="Arial"/>
        </w:rPr>
        <w:t>[Section Reserved]</w:t>
      </w:r>
    </w:p>
    <w:p w14:paraId="18EFAEB5" w14:textId="252E3E78" w:rsidR="00572EEF" w:rsidRDefault="00572EEF" w:rsidP="00F75BDC">
      <w:pPr>
        <w:tabs>
          <w:tab w:val="left" w:pos="1134"/>
        </w:tabs>
        <w:ind w:left="1134" w:right="1187" w:hanging="567"/>
      </w:pPr>
      <w:r>
        <w:t xml:space="preserve"> </w:t>
      </w:r>
    </w:p>
    <w:p w14:paraId="1073EA60" w14:textId="2276C32B" w:rsidR="00703C97" w:rsidRPr="00E346DD" w:rsidRDefault="00696BAC" w:rsidP="00703C97">
      <w:pPr>
        <w:pStyle w:val="iLAWS300Article"/>
        <w:rPr>
          <w:rFonts w:ascii="Arial" w:hAnsi="Arial" w:cs="Arial"/>
        </w:rPr>
      </w:pPr>
      <w:bookmarkStart w:id="3" w:name="_Toc150754290"/>
      <w:r>
        <w:rPr>
          <w:rFonts w:ascii="Arial" w:eastAsia="Calibri" w:hAnsi="Arial" w:cs="Arial"/>
        </w:rPr>
        <w:t>4</w:t>
      </w:r>
      <w:r w:rsidR="00703C97" w:rsidRPr="00E346DD">
        <w:rPr>
          <w:rFonts w:ascii="Arial" w:eastAsia="Calibri" w:hAnsi="Arial" w:cs="Arial"/>
        </w:rPr>
        <w:tab/>
      </w:r>
      <w:r w:rsidR="00703C97" w:rsidRPr="00E346DD">
        <w:rPr>
          <w:rFonts w:ascii="Arial" w:eastAsia="Arial" w:hAnsi="Arial" w:cs="Arial"/>
        </w:rPr>
        <w:t xml:space="preserve">Section </w:t>
      </w:r>
      <w:r w:rsidR="00874535">
        <w:rPr>
          <w:rFonts w:ascii="Arial" w:eastAsia="Arial" w:hAnsi="Arial" w:cs="Arial"/>
        </w:rPr>
        <w:t>18</w:t>
      </w:r>
      <w:r w:rsidR="00703C97" w:rsidRPr="00E346DD">
        <w:rPr>
          <w:rFonts w:ascii="Arial" w:eastAsia="Arial" w:hAnsi="Arial" w:cs="Arial"/>
        </w:rPr>
        <w:t xml:space="preserve"> of the principal Act </w:t>
      </w:r>
      <w:proofErr w:type="gramStart"/>
      <w:r w:rsidR="00703C97" w:rsidRPr="00E346DD">
        <w:rPr>
          <w:rFonts w:ascii="Arial" w:eastAsia="Arial" w:hAnsi="Arial" w:cs="Arial"/>
        </w:rPr>
        <w:t>amended</w:t>
      </w:r>
      <w:bookmarkEnd w:id="3"/>
      <w:proofErr w:type="gramEnd"/>
    </w:p>
    <w:p w14:paraId="49F3247D" w14:textId="13CC6788" w:rsidR="00703C97" w:rsidRDefault="00703C97" w:rsidP="00F75BDC">
      <w:pPr>
        <w:spacing w:before="240" w:after="120" w:line="247" w:lineRule="auto"/>
        <w:ind w:left="998" w:right="0" w:hanging="431"/>
      </w:pPr>
      <w:r>
        <w:t xml:space="preserve">Section </w:t>
      </w:r>
      <w:r w:rsidR="00874535">
        <w:t>18</w:t>
      </w:r>
      <w:r>
        <w:t xml:space="preserve"> of the principal Act is amended by </w:t>
      </w:r>
      <w:r w:rsidR="00874535">
        <w:t xml:space="preserve">inserting after </w:t>
      </w:r>
      <w:r>
        <w:t>subsection (</w:t>
      </w:r>
      <w:r w:rsidR="00F95776">
        <w:t>2</w:t>
      </w:r>
      <w:r>
        <w:t>) the following subsection —</w:t>
      </w:r>
    </w:p>
    <w:p w14:paraId="0DE20A2F" w14:textId="76E95999" w:rsidR="00F95776" w:rsidRPr="004C433B" w:rsidRDefault="00F95776" w:rsidP="00F75BDC">
      <w:pPr>
        <w:spacing w:after="17"/>
        <w:ind w:left="1388" w:right="1187" w:hanging="821"/>
      </w:pPr>
      <w:r w:rsidRPr="004C433B">
        <w:t>“(2A)</w:t>
      </w:r>
      <w:r w:rsidR="00696BAC" w:rsidRPr="004C433B">
        <w:tab/>
      </w:r>
      <w:r w:rsidRPr="004C433B">
        <w:t>The Commission</w:t>
      </w:r>
      <w:r w:rsidR="00053F0B" w:rsidRPr="004C433B">
        <w:t xml:space="preserve"> must give reasons for a </w:t>
      </w:r>
      <w:r w:rsidRPr="004C433B">
        <w:t>refus</w:t>
      </w:r>
      <w:r w:rsidR="00053F0B" w:rsidRPr="004C433B">
        <w:t>al</w:t>
      </w:r>
      <w:r w:rsidRPr="004C433B">
        <w:t xml:space="preserve"> to grant </w:t>
      </w:r>
      <w:r w:rsidR="00053F0B" w:rsidRPr="004C433B">
        <w:t xml:space="preserve">an </w:t>
      </w:r>
      <w:r w:rsidRPr="004C433B">
        <w:t>application under this section</w:t>
      </w:r>
      <w:r w:rsidR="00053F0B" w:rsidRPr="004C433B">
        <w:t>.</w:t>
      </w:r>
      <w:r w:rsidRPr="004C433B">
        <w:t>”.</w:t>
      </w:r>
    </w:p>
    <w:p w14:paraId="6704E10B" w14:textId="366D9347" w:rsidR="00C10A4A" w:rsidRPr="00E346DD" w:rsidRDefault="00B77220" w:rsidP="00E346DD">
      <w:pPr>
        <w:pStyle w:val="iLAWS300Article"/>
        <w:rPr>
          <w:rFonts w:ascii="Arial" w:hAnsi="Arial" w:cs="Arial"/>
        </w:rPr>
      </w:pPr>
      <w:bookmarkStart w:id="4" w:name="_Toc150754291"/>
      <w:bookmarkStart w:id="5" w:name="_Hlk147706995"/>
      <w:r w:rsidRPr="004C433B">
        <w:rPr>
          <w:rFonts w:ascii="Arial" w:eastAsia="Calibri" w:hAnsi="Arial" w:cs="Arial"/>
        </w:rPr>
        <w:t>5</w:t>
      </w:r>
      <w:r w:rsidR="00C10A4A" w:rsidRPr="004C433B">
        <w:rPr>
          <w:rFonts w:ascii="Arial" w:eastAsia="Calibri" w:hAnsi="Arial" w:cs="Arial"/>
        </w:rPr>
        <w:tab/>
      </w:r>
      <w:r w:rsidR="00C10A4A" w:rsidRPr="00E346DD">
        <w:rPr>
          <w:rFonts w:ascii="Arial" w:eastAsia="Arial" w:hAnsi="Arial" w:cs="Arial"/>
        </w:rPr>
        <w:t>Section 24 of the principal Act amended</w:t>
      </w:r>
      <w:bookmarkEnd w:id="4"/>
    </w:p>
    <w:bookmarkEnd w:id="5"/>
    <w:p w14:paraId="0BDCC4A6" w14:textId="661A10D7" w:rsidR="007532B4" w:rsidRDefault="00C10A4A" w:rsidP="00F75BDC">
      <w:pPr>
        <w:spacing w:before="240" w:after="120" w:line="247" w:lineRule="auto"/>
        <w:ind w:left="567" w:right="0" w:firstLine="0"/>
      </w:pPr>
      <w:r>
        <w:t>Section 24 of the principal Act is amended by repealing subsection (</w:t>
      </w:r>
      <w:r w:rsidR="00670972">
        <w:t>7</w:t>
      </w:r>
      <w:r>
        <w:t xml:space="preserve">) and </w:t>
      </w:r>
      <w:r w:rsidR="00670972">
        <w:t xml:space="preserve">replacing it by </w:t>
      </w:r>
      <w:r>
        <w:t>the following subsection</w:t>
      </w:r>
      <w:r w:rsidR="00E01CD4">
        <w:t xml:space="preserve"> —</w:t>
      </w:r>
    </w:p>
    <w:p w14:paraId="33AA3373" w14:textId="5D8CD0D0" w:rsidR="00164E5B" w:rsidRDefault="007532B4" w:rsidP="007532B4">
      <w:pPr>
        <w:spacing w:after="120"/>
        <w:ind w:left="1194" w:right="0" w:firstLine="0"/>
      </w:pPr>
      <w:r>
        <w:t>“(7)</w:t>
      </w:r>
      <w:r w:rsidR="00670972">
        <w:t xml:space="preserve"> </w:t>
      </w:r>
      <w:r>
        <w:t xml:space="preserve">Notwithstanding any other enactment, where, at any time, the Commission is not satisfied that an officer of a licensee is a fit and proper person, it may, after giving </w:t>
      </w:r>
      <w:r w:rsidR="00B756BF">
        <w:t>the</w:t>
      </w:r>
      <w:r>
        <w:t xml:space="preserve"> officer and  licensee an opportunity to make representations thereon</w:t>
      </w:r>
      <w:r w:rsidR="0044117C">
        <w:t>,</w:t>
      </w:r>
      <w:r w:rsidR="00670972">
        <w:t xml:space="preserve"> within such reasonable time as the Commission may specify</w:t>
      </w:r>
      <w:r>
        <w:t>, direct the licensee to remove, suspend</w:t>
      </w:r>
      <w:r w:rsidR="0030387F">
        <w:t>, limit</w:t>
      </w:r>
      <w:r w:rsidR="005609FF">
        <w:t>,</w:t>
      </w:r>
      <w:r w:rsidR="0030387F">
        <w:t xml:space="preserve"> or impose conditions on</w:t>
      </w:r>
      <w:r w:rsidR="005609FF">
        <w:t>,</w:t>
      </w:r>
      <w:r>
        <w:t xml:space="preserve"> such officer as the case may be.”</w:t>
      </w:r>
      <w:r w:rsidR="00B77220">
        <w:t>.</w:t>
      </w:r>
    </w:p>
    <w:p w14:paraId="60059ABA" w14:textId="7E8C95EA" w:rsidR="009C351F" w:rsidRPr="00E346DD" w:rsidRDefault="00B77220" w:rsidP="00F75BDC">
      <w:pPr>
        <w:pStyle w:val="iLAWS300Article"/>
        <w:rPr>
          <w:rFonts w:ascii="Arial" w:hAnsi="Arial" w:cs="Arial"/>
        </w:rPr>
      </w:pPr>
      <w:bookmarkStart w:id="6" w:name="_Toc150754292"/>
      <w:r>
        <w:rPr>
          <w:rFonts w:ascii="Arial" w:eastAsia="Calibri" w:hAnsi="Arial" w:cs="Arial"/>
        </w:rPr>
        <w:t>6</w:t>
      </w:r>
      <w:r w:rsidR="00D66337">
        <w:rPr>
          <w:rFonts w:ascii="Arial" w:eastAsia="Calibri" w:hAnsi="Arial" w:cs="Arial"/>
        </w:rPr>
        <w:tab/>
      </w:r>
      <w:r w:rsidR="00DF77DB" w:rsidRPr="00E346DD">
        <w:rPr>
          <w:rFonts w:ascii="Arial" w:eastAsia="Arial" w:hAnsi="Arial" w:cs="Arial"/>
        </w:rPr>
        <w:t xml:space="preserve">Section </w:t>
      </w:r>
      <w:r>
        <w:rPr>
          <w:rFonts w:ascii="Arial" w:eastAsia="Arial" w:hAnsi="Arial" w:cs="Arial"/>
        </w:rPr>
        <w:t>29 o</w:t>
      </w:r>
      <w:r w:rsidR="00DF77DB" w:rsidRPr="00E346DD">
        <w:rPr>
          <w:rFonts w:ascii="Arial" w:eastAsia="Arial" w:hAnsi="Arial" w:cs="Arial"/>
        </w:rPr>
        <w:t>f the principal Act amended</w:t>
      </w:r>
      <w:bookmarkEnd w:id="6"/>
    </w:p>
    <w:p w14:paraId="5EA0C012" w14:textId="52AA293D" w:rsidR="00B77220" w:rsidRPr="00F75BDC" w:rsidRDefault="009C351F" w:rsidP="00F75BDC">
      <w:pPr>
        <w:spacing w:before="120" w:line="247" w:lineRule="auto"/>
        <w:ind w:left="567" w:right="1168" w:firstLine="0"/>
        <w:rPr>
          <w:lang w:eastAsia="en-US"/>
        </w:rPr>
      </w:pPr>
      <w:r>
        <w:t xml:space="preserve">Section 29 of the principal Act is amended </w:t>
      </w:r>
      <w:r w:rsidR="00B75527">
        <w:t xml:space="preserve">in subsection (2)(b) </w:t>
      </w:r>
      <w:r>
        <w:t xml:space="preserve">by inserting after </w:t>
      </w:r>
      <w:r w:rsidR="00B75527">
        <w:t xml:space="preserve">the words </w:t>
      </w:r>
      <w:r w:rsidR="00FC1FE5">
        <w:t>“account files” the words “, returns, reports”.</w:t>
      </w:r>
    </w:p>
    <w:p w14:paraId="299012A7" w14:textId="11C867A5" w:rsidR="00D92462" w:rsidRPr="00E346DD" w:rsidRDefault="00B77220" w:rsidP="00E346DD">
      <w:pPr>
        <w:pStyle w:val="iLAWS300Article"/>
        <w:rPr>
          <w:rFonts w:ascii="Arial" w:hAnsi="Arial" w:cs="Arial"/>
        </w:rPr>
      </w:pPr>
      <w:bookmarkStart w:id="7" w:name="_Toc150754293"/>
      <w:r>
        <w:rPr>
          <w:rFonts w:ascii="Arial" w:eastAsia="Calibri" w:hAnsi="Arial" w:cs="Arial"/>
        </w:rPr>
        <w:t>7</w:t>
      </w:r>
      <w:r w:rsidR="00516B98" w:rsidRPr="00E346DD">
        <w:rPr>
          <w:rFonts w:ascii="Arial" w:eastAsia="Calibri" w:hAnsi="Arial" w:cs="Arial"/>
        </w:rPr>
        <w:tab/>
      </w:r>
      <w:r w:rsidR="00852FC8" w:rsidRPr="00E346DD">
        <w:rPr>
          <w:rFonts w:ascii="Arial" w:eastAsia="Arial" w:hAnsi="Arial" w:cs="Arial"/>
        </w:rPr>
        <w:t>Sec</w:t>
      </w:r>
      <w:r w:rsidR="00E62C70" w:rsidRPr="00E346DD">
        <w:rPr>
          <w:rFonts w:ascii="Arial" w:eastAsia="Arial" w:hAnsi="Arial" w:cs="Arial"/>
        </w:rPr>
        <w:t>tion 3</w:t>
      </w:r>
      <w:r w:rsidR="002A4FD3" w:rsidRPr="00E346DD">
        <w:rPr>
          <w:rFonts w:ascii="Arial" w:eastAsia="Arial" w:hAnsi="Arial" w:cs="Arial"/>
        </w:rPr>
        <w:t>4</w:t>
      </w:r>
      <w:r w:rsidR="00E62C70" w:rsidRPr="00E346DD">
        <w:rPr>
          <w:rFonts w:ascii="Arial" w:eastAsia="Arial" w:hAnsi="Arial" w:cs="Arial"/>
        </w:rPr>
        <w:t xml:space="preserve"> of the principal Act </w:t>
      </w:r>
      <w:r w:rsidR="003D14E1" w:rsidRPr="00E346DD">
        <w:rPr>
          <w:rFonts w:ascii="Arial" w:eastAsia="Arial" w:hAnsi="Arial" w:cs="Arial"/>
        </w:rPr>
        <w:t>amended</w:t>
      </w:r>
      <w:bookmarkEnd w:id="7"/>
      <w:r w:rsidR="0076386A" w:rsidRPr="00E346DD">
        <w:rPr>
          <w:rFonts w:ascii="Arial" w:hAnsi="Arial" w:cs="Arial"/>
        </w:rPr>
        <w:t xml:space="preserve"> </w:t>
      </w:r>
    </w:p>
    <w:p w14:paraId="770D151B" w14:textId="074A1E48" w:rsidR="003D14E1" w:rsidRDefault="00D31E80" w:rsidP="00863F9D">
      <w:pPr>
        <w:tabs>
          <w:tab w:val="left" w:pos="567"/>
        </w:tabs>
        <w:spacing w:before="240" w:after="120" w:line="247" w:lineRule="auto"/>
        <w:ind w:left="567" w:right="2" w:firstLine="0"/>
      </w:pPr>
      <w:bookmarkStart w:id="8" w:name="_Hlk134493040"/>
      <w:r>
        <w:t>Sec</w:t>
      </w:r>
      <w:r w:rsidR="00D47217">
        <w:t xml:space="preserve">tion </w:t>
      </w:r>
      <w:r w:rsidR="002A4FD3">
        <w:t>34</w:t>
      </w:r>
      <w:r w:rsidR="00D47217">
        <w:t xml:space="preserve"> of the principal Act </w:t>
      </w:r>
      <w:r w:rsidR="003D14E1">
        <w:t xml:space="preserve">is </w:t>
      </w:r>
      <w:r w:rsidR="00F37996">
        <w:t xml:space="preserve">amended by repealing subsection (4) and </w:t>
      </w:r>
      <w:r w:rsidR="005135FC">
        <w:t xml:space="preserve">replacing it </w:t>
      </w:r>
      <w:r w:rsidR="004447E4">
        <w:t xml:space="preserve">by </w:t>
      </w:r>
      <w:r w:rsidR="00F37996">
        <w:t xml:space="preserve">the following subsection </w:t>
      </w:r>
      <w:r w:rsidR="003D14E1">
        <w:t>—</w:t>
      </w:r>
    </w:p>
    <w:bookmarkEnd w:id="8"/>
    <w:p w14:paraId="70E89ABF" w14:textId="6FF3DD57" w:rsidR="00472767" w:rsidRPr="00472767" w:rsidRDefault="003D14E1" w:rsidP="00863F9D">
      <w:pPr>
        <w:tabs>
          <w:tab w:val="left" w:pos="567"/>
          <w:tab w:val="left" w:pos="1134"/>
        </w:tabs>
        <w:ind w:left="709" w:right="2" w:hanging="142"/>
      </w:pPr>
      <w:r>
        <w:rPr>
          <w:b/>
        </w:rPr>
        <w:t>“</w:t>
      </w:r>
      <w:r w:rsidR="00E00474" w:rsidRPr="00081DE2">
        <w:rPr>
          <w:bCs/>
        </w:rPr>
        <w:t>(4)</w:t>
      </w:r>
      <w:r w:rsidR="007E78C8">
        <w:rPr>
          <w:b/>
        </w:rPr>
        <w:tab/>
      </w:r>
      <w:r w:rsidR="00472767" w:rsidRPr="00472767">
        <w:t xml:space="preserve">The rules of an SRO may make provision </w:t>
      </w:r>
      <w:r w:rsidR="00361A28">
        <w:t>in relation to</w:t>
      </w:r>
      <w:r w:rsidR="00472767" w:rsidRPr="00472767">
        <w:t xml:space="preserve"> </w:t>
      </w:r>
      <w:r w:rsidR="00F37996">
        <w:t>—</w:t>
      </w:r>
    </w:p>
    <w:p w14:paraId="268575A5" w14:textId="35B8F71D" w:rsidR="00472767" w:rsidRPr="00472767" w:rsidRDefault="00472767" w:rsidP="00863F9D">
      <w:pPr>
        <w:numPr>
          <w:ilvl w:val="0"/>
          <w:numId w:val="1"/>
        </w:numPr>
        <w:tabs>
          <w:tab w:val="left" w:pos="567"/>
        </w:tabs>
        <w:ind w:right="2"/>
      </w:pPr>
      <w:r w:rsidRPr="00472767">
        <w:t>shareholding and voting rights in the SRO in the interests of the members of SROs, consumers</w:t>
      </w:r>
      <w:r w:rsidR="00361A28">
        <w:t xml:space="preserve"> and</w:t>
      </w:r>
      <w:r w:rsidRPr="00472767">
        <w:t xml:space="preserve"> investors and </w:t>
      </w:r>
      <w:r w:rsidR="00361A28">
        <w:t xml:space="preserve">the </w:t>
      </w:r>
      <w:r w:rsidRPr="00472767">
        <w:t xml:space="preserve">users of their </w:t>
      </w:r>
      <w:proofErr w:type="gramStart"/>
      <w:r w:rsidRPr="00472767">
        <w:t>services</w:t>
      </w:r>
      <w:r w:rsidR="007A129B">
        <w:t>;</w:t>
      </w:r>
      <w:proofErr w:type="gramEnd"/>
      <w:r w:rsidRPr="00472767">
        <w:t xml:space="preserve"> </w:t>
      </w:r>
    </w:p>
    <w:p w14:paraId="68FEEFEA" w14:textId="02DEDFCC" w:rsidR="00472767" w:rsidRPr="00472767" w:rsidRDefault="00472767" w:rsidP="00863F9D">
      <w:pPr>
        <w:numPr>
          <w:ilvl w:val="0"/>
          <w:numId w:val="1"/>
        </w:numPr>
        <w:tabs>
          <w:tab w:val="left" w:pos="567"/>
        </w:tabs>
        <w:ind w:right="2"/>
      </w:pPr>
      <w:r w:rsidRPr="00472767">
        <w:t>promoting investors protection and market integrity</w:t>
      </w:r>
      <w:r w:rsidR="005135FC">
        <w:t>;</w:t>
      </w:r>
      <w:r w:rsidRPr="00472767">
        <w:t xml:space="preserve"> and </w:t>
      </w:r>
    </w:p>
    <w:p w14:paraId="1746CDF6" w14:textId="76EEAB47" w:rsidR="00472767" w:rsidRDefault="00472767" w:rsidP="00176F64">
      <w:pPr>
        <w:numPr>
          <w:ilvl w:val="0"/>
          <w:numId w:val="1"/>
        </w:numPr>
        <w:tabs>
          <w:tab w:val="left" w:pos="567"/>
        </w:tabs>
        <w:ind w:left="1134" w:right="2" w:hanging="54"/>
      </w:pPr>
      <w:r w:rsidRPr="00472767">
        <w:lastRenderedPageBreak/>
        <w:t>internal procedures to address potential conflicts</w:t>
      </w:r>
      <w:r w:rsidR="0012475F">
        <w:t>.”</w:t>
      </w:r>
      <w:r w:rsidR="00AF1182">
        <w:t>.</w:t>
      </w:r>
    </w:p>
    <w:p w14:paraId="794262AF" w14:textId="111B86CB" w:rsidR="00BC2CA9" w:rsidRPr="00E346DD" w:rsidRDefault="00D66337" w:rsidP="00081DE2">
      <w:pPr>
        <w:pStyle w:val="iLAWS300Article"/>
        <w:ind w:left="0" w:firstLine="0"/>
        <w:rPr>
          <w:rFonts w:ascii="Arial" w:hAnsi="Arial" w:cs="Arial"/>
        </w:rPr>
      </w:pPr>
      <w:bookmarkStart w:id="9" w:name="_Toc150754294"/>
      <w:bookmarkStart w:id="10" w:name="_Hlk138607073"/>
      <w:r>
        <w:rPr>
          <w:rFonts w:ascii="Arial" w:eastAsia="Calibri" w:hAnsi="Arial" w:cs="Arial"/>
        </w:rPr>
        <w:t>8</w:t>
      </w:r>
      <w:r w:rsidR="00BC2CA9" w:rsidRPr="00E346DD">
        <w:rPr>
          <w:rFonts w:ascii="Arial" w:eastAsia="Calibri" w:hAnsi="Arial" w:cs="Arial"/>
        </w:rPr>
        <w:t>.</w:t>
      </w:r>
      <w:r w:rsidR="00BC2CA9" w:rsidRPr="00E346DD">
        <w:rPr>
          <w:rFonts w:ascii="Arial" w:eastAsia="Calibri" w:hAnsi="Arial" w:cs="Arial"/>
        </w:rPr>
        <w:tab/>
      </w:r>
      <w:r w:rsidR="00BC2CA9" w:rsidRPr="00E346DD">
        <w:rPr>
          <w:rFonts w:ascii="Arial" w:eastAsia="Arial" w:hAnsi="Arial" w:cs="Arial"/>
        </w:rPr>
        <w:t xml:space="preserve">Section </w:t>
      </w:r>
      <w:r w:rsidR="00BC2CA9">
        <w:rPr>
          <w:rFonts w:ascii="Arial" w:eastAsia="Arial" w:hAnsi="Arial" w:cs="Arial"/>
        </w:rPr>
        <w:t>42</w:t>
      </w:r>
      <w:r w:rsidR="00BC2CA9" w:rsidRPr="00E346DD">
        <w:rPr>
          <w:rFonts w:ascii="Arial" w:eastAsia="Arial" w:hAnsi="Arial" w:cs="Arial"/>
        </w:rPr>
        <w:t xml:space="preserve"> of the principal Act amended</w:t>
      </w:r>
      <w:bookmarkEnd w:id="9"/>
      <w:r w:rsidR="00BC2CA9" w:rsidRPr="00E346DD">
        <w:rPr>
          <w:rFonts w:ascii="Arial" w:hAnsi="Arial" w:cs="Arial"/>
        </w:rPr>
        <w:t xml:space="preserve"> </w:t>
      </w:r>
    </w:p>
    <w:p w14:paraId="1D866669" w14:textId="3B196310" w:rsidR="0042037A" w:rsidRDefault="00537937" w:rsidP="0042037A">
      <w:pPr>
        <w:tabs>
          <w:tab w:val="left" w:pos="567"/>
        </w:tabs>
        <w:spacing w:before="120" w:after="120" w:line="247" w:lineRule="auto"/>
        <w:ind w:left="709" w:right="1185" w:hanging="142"/>
      </w:pPr>
      <w:bookmarkStart w:id="11" w:name="_Hlk138607134"/>
      <w:bookmarkEnd w:id="10"/>
      <w:r>
        <w:t xml:space="preserve">Section 42 of the principal Act is amended </w:t>
      </w:r>
      <w:bookmarkStart w:id="12" w:name="_Hlk148202618"/>
      <w:r w:rsidR="003272F3">
        <w:t>—</w:t>
      </w:r>
      <w:bookmarkEnd w:id="11"/>
      <w:bookmarkEnd w:id="12"/>
    </w:p>
    <w:p w14:paraId="48137F91" w14:textId="77777777" w:rsidR="0042037A" w:rsidRDefault="0042037A" w:rsidP="0042037A">
      <w:pPr>
        <w:pStyle w:val="iLAWS310Paragraph"/>
        <w:numPr>
          <w:ilvl w:val="0"/>
          <w:numId w:val="11"/>
        </w:numPr>
      </w:pPr>
      <w:r>
        <w:t>in subsection (1) by inserting after the word “documents” the words “</w:t>
      </w:r>
      <w:r w:rsidRPr="00C72FB0">
        <w:t>and in connection with the request for information, give such assistance as the Commission may specify, including but not limited to, answering questions in an interview</w:t>
      </w:r>
      <w:r>
        <w:t>.”;</w:t>
      </w:r>
    </w:p>
    <w:p w14:paraId="5E792096" w14:textId="212BA765" w:rsidR="007B7583" w:rsidRDefault="000E529B" w:rsidP="00CB0D44">
      <w:pPr>
        <w:pStyle w:val="ListParagraph"/>
        <w:numPr>
          <w:ilvl w:val="0"/>
          <w:numId w:val="11"/>
        </w:numPr>
      </w:pPr>
      <w:r>
        <w:t>i</w:t>
      </w:r>
      <w:r w:rsidR="00537937">
        <w:t>n subsection (</w:t>
      </w:r>
      <w:proofErr w:type="gramStart"/>
      <w:r w:rsidR="00537937">
        <w:t>2</w:t>
      </w:r>
      <w:r w:rsidR="00BC2CA9">
        <w:t>)</w:t>
      </w:r>
      <w:r w:rsidR="00BE65CB">
        <w:t>by</w:t>
      </w:r>
      <w:proofErr w:type="gramEnd"/>
      <w:r w:rsidR="00BE65CB">
        <w:t xml:space="preserve"> </w:t>
      </w:r>
      <w:r w:rsidR="00203FA5">
        <w:t xml:space="preserve">repealing </w:t>
      </w:r>
      <w:r w:rsidR="00B83693">
        <w:t>paragraph</w:t>
      </w:r>
      <w:r w:rsidR="00E31139">
        <w:t>s</w:t>
      </w:r>
      <w:r w:rsidR="00B83693">
        <w:t xml:space="preserve"> (a)</w:t>
      </w:r>
      <w:r w:rsidR="00E31139">
        <w:t xml:space="preserve"> and (b)</w:t>
      </w:r>
      <w:r w:rsidR="00B83693">
        <w:t xml:space="preserve"> </w:t>
      </w:r>
      <w:r w:rsidR="00BE65CB">
        <w:t xml:space="preserve">and replacing </w:t>
      </w:r>
      <w:r w:rsidR="00E31139">
        <w:t>them</w:t>
      </w:r>
      <w:r w:rsidR="00BE65CB">
        <w:t xml:space="preserve"> with the following</w:t>
      </w:r>
      <w:bookmarkStart w:id="13" w:name="_Hlk148196158"/>
      <w:r w:rsidR="00E31139">
        <w:t xml:space="preserve"> paragraphs </w:t>
      </w:r>
      <w:r w:rsidR="00BE65CB" w:rsidRPr="00176F64">
        <w:t>—</w:t>
      </w:r>
      <w:bookmarkEnd w:id="13"/>
    </w:p>
    <w:p w14:paraId="1D00D0BE" w14:textId="3032645D" w:rsidR="00BE65CB" w:rsidRDefault="00D64005" w:rsidP="001062A8">
      <w:pPr>
        <w:pStyle w:val="ListParagraph"/>
        <w:spacing w:after="69" w:line="259" w:lineRule="auto"/>
        <w:ind w:left="1435" w:right="0" w:firstLine="266"/>
      </w:pPr>
      <w:r>
        <w:t>“</w:t>
      </w:r>
      <w:r w:rsidR="00B32769" w:rsidRPr="00B32769">
        <w:t>(a)</w:t>
      </w:r>
      <w:r w:rsidR="00B32769">
        <w:tab/>
      </w:r>
      <w:r w:rsidR="00B32769" w:rsidRPr="00B32769">
        <w:t>For the purposes of subsection (1), a licensee includes</w:t>
      </w:r>
      <w:r w:rsidR="001A3378" w:rsidRPr="00176F64">
        <w:t>—</w:t>
      </w:r>
    </w:p>
    <w:p w14:paraId="6BEFC722" w14:textId="77777777" w:rsidR="00343381" w:rsidRDefault="0028589B" w:rsidP="00343381">
      <w:pPr>
        <w:pStyle w:val="ListParagraph"/>
        <w:numPr>
          <w:ilvl w:val="0"/>
          <w:numId w:val="12"/>
        </w:numPr>
      </w:pPr>
      <w:r w:rsidRPr="0028589B">
        <w:t xml:space="preserve">any person who has been a licensee; </w:t>
      </w:r>
    </w:p>
    <w:p w14:paraId="1DCEFE30" w14:textId="77777777" w:rsidR="00343381" w:rsidRDefault="0028589B" w:rsidP="00343381">
      <w:pPr>
        <w:pStyle w:val="ListParagraph"/>
        <w:numPr>
          <w:ilvl w:val="0"/>
          <w:numId w:val="12"/>
        </w:numPr>
      </w:pPr>
      <w:r w:rsidRPr="0028589B">
        <w:t>any person who is a present or past officer, partner or controller of the licensee;</w:t>
      </w:r>
    </w:p>
    <w:p w14:paraId="27C5096E" w14:textId="77777777" w:rsidR="000D3D14" w:rsidRDefault="0028589B" w:rsidP="00343381">
      <w:pPr>
        <w:pStyle w:val="ListParagraph"/>
        <w:numPr>
          <w:ilvl w:val="0"/>
          <w:numId w:val="12"/>
        </w:numPr>
      </w:pPr>
      <w:r w:rsidRPr="0028589B">
        <w:t>any person who ought to have been licensed under this Act;</w:t>
      </w:r>
    </w:p>
    <w:p w14:paraId="587313B0" w14:textId="022B4EA2" w:rsidR="00E31139" w:rsidRDefault="0028589B" w:rsidP="00CB0D44">
      <w:pPr>
        <w:pStyle w:val="ListParagraph"/>
        <w:numPr>
          <w:ilvl w:val="0"/>
          <w:numId w:val="13"/>
        </w:numPr>
        <w:tabs>
          <w:tab w:val="left" w:pos="1843"/>
        </w:tabs>
        <w:spacing w:after="69" w:line="259" w:lineRule="auto"/>
        <w:ind w:left="1795" w:right="0" w:firstLine="360"/>
      </w:pPr>
      <w:r w:rsidRPr="0028589B">
        <w:t>(iv) an SRO</w:t>
      </w:r>
      <w:r w:rsidR="00343381">
        <w:t xml:space="preserve">; </w:t>
      </w:r>
    </w:p>
    <w:p w14:paraId="334E577E" w14:textId="36399D1E" w:rsidR="00203FA5" w:rsidRDefault="00203FA5" w:rsidP="00CB0D44">
      <w:pPr>
        <w:pStyle w:val="ListParagraph"/>
        <w:numPr>
          <w:ilvl w:val="0"/>
          <w:numId w:val="13"/>
        </w:numPr>
        <w:spacing w:after="69" w:line="259" w:lineRule="auto"/>
        <w:ind w:left="2127" w:right="0" w:hanging="426"/>
      </w:pPr>
      <w:r w:rsidRPr="00AF6B68">
        <w:t xml:space="preserve">Subsection (1) applies to any information, records or documents required in connection with the discharge of the functions and the exercise of the powers by the Commission under a relevant Act or any other enactment, including </w:t>
      </w:r>
      <w:r w:rsidR="00B01154">
        <w:t xml:space="preserve">legislation relating to </w:t>
      </w:r>
      <w:r w:rsidR="006B044A">
        <w:t>anti-money laundering and countering financing of terrorism</w:t>
      </w:r>
      <w:r w:rsidR="00465BAF">
        <w:t>.</w:t>
      </w:r>
      <w:r>
        <w:t>”.</w:t>
      </w:r>
    </w:p>
    <w:p w14:paraId="0F8E569B" w14:textId="772446A9" w:rsidR="008140BC" w:rsidRDefault="00530761" w:rsidP="006B2DD4">
      <w:pPr>
        <w:pStyle w:val="NoSpacing"/>
        <w:tabs>
          <w:tab w:val="left" w:pos="1134"/>
          <w:tab w:val="left" w:pos="2127"/>
        </w:tabs>
        <w:ind w:left="1843" w:hanging="1276"/>
      </w:pPr>
      <w:r>
        <w:t>(</w:t>
      </w:r>
      <w:r w:rsidR="009A6714">
        <w:t>c</w:t>
      </w:r>
      <w:r w:rsidR="004361D4">
        <w:t>)</w:t>
      </w:r>
      <w:r w:rsidR="004361D4">
        <w:tab/>
        <w:t>in subsection (3A</w:t>
      </w:r>
      <w:r w:rsidR="00E935A8">
        <w:t>) after the word “functions</w:t>
      </w:r>
      <w:r w:rsidR="00C12643">
        <w:t xml:space="preserve">” </w:t>
      </w:r>
      <w:r w:rsidR="004361D4">
        <w:t xml:space="preserve">by </w:t>
      </w:r>
      <w:r w:rsidR="00706804">
        <w:t xml:space="preserve">repealing </w:t>
      </w:r>
      <w:r w:rsidR="004C015D">
        <w:t xml:space="preserve">the </w:t>
      </w:r>
      <w:r w:rsidR="00952E65">
        <w:t>word “</w:t>
      </w:r>
      <w:r w:rsidR="00706804">
        <w:t>of</w:t>
      </w:r>
      <w:r w:rsidR="00952E65">
        <w:t xml:space="preserve">” </w:t>
      </w:r>
      <w:r w:rsidR="00706804">
        <w:t xml:space="preserve">and substituting the </w:t>
      </w:r>
      <w:r w:rsidR="008140BC">
        <w:t>“</w:t>
      </w:r>
      <w:r w:rsidR="00706804">
        <w:t>words “</w:t>
      </w:r>
      <w:r w:rsidR="009A6714">
        <w:t>and the exercise of the powers</w:t>
      </w:r>
      <w:r w:rsidR="00F94A9D">
        <w:t xml:space="preserve"> by</w:t>
      </w:r>
      <w:r w:rsidR="009A6714">
        <w:t>”;</w:t>
      </w:r>
    </w:p>
    <w:p w14:paraId="2E6204D1" w14:textId="347408F3" w:rsidR="00C40EDB" w:rsidRDefault="00FB3E74" w:rsidP="006B2DD4">
      <w:pPr>
        <w:pStyle w:val="NoSpacing"/>
        <w:tabs>
          <w:tab w:val="left" w:pos="1134"/>
        </w:tabs>
        <w:ind w:left="1843" w:hanging="1276"/>
      </w:pPr>
      <w:r>
        <w:t>(</w:t>
      </w:r>
      <w:r w:rsidR="009A6714">
        <w:t>d</w:t>
      </w:r>
      <w:r>
        <w:t>)</w:t>
      </w:r>
      <w:r>
        <w:tab/>
        <w:t>in subsection (</w:t>
      </w:r>
      <w:r w:rsidR="00116A91">
        <w:t>4</w:t>
      </w:r>
      <w:r>
        <w:t>)</w:t>
      </w:r>
      <w:r w:rsidR="004C6447" w:rsidRPr="00176F64">
        <w:t>—</w:t>
      </w:r>
    </w:p>
    <w:p w14:paraId="77605151" w14:textId="62882359" w:rsidR="000717E7" w:rsidRDefault="00FB3E74" w:rsidP="00917ED5">
      <w:pPr>
        <w:pStyle w:val="NoSpacing"/>
        <w:numPr>
          <w:ilvl w:val="0"/>
          <w:numId w:val="14"/>
        </w:numPr>
        <w:tabs>
          <w:tab w:val="left" w:pos="1435"/>
          <w:tab w:val="left" w:pos="2268"/>
        </w:tabs>
        <w:ind w:left="2268" w:hanging="430"/>
        <w:rPr>
          <w:rFonts w:ascii="Calibri" w:eastAsia="Calibri" w:hAnsi="Calibri" w:cs="Calibri"/>
        </w:rPr>
      </w:pPr>
      <w:r>
        <w:t>by inserting before the definition of “information” the following definition</w:t>
      </w:r>
      <w:r w:rsidR="00840E51">
        <w:t>—</w:t>
      </w:r>
      <w:r>
        <w:t xml:space="preserve"> </w:t>
      </w:r>
    </w:p>
    <w:p w14:paraId="1DE75948" w14:textId="697B12C8" w:rsidR="006B2DD4" w:rsidRDefault="00FB3E74" w:rsidP="006B2DD4">
      <w:pPr>
        <w:tabs>
          <w:tab w:val="left" w:pos="2552"/>
        </w:tabs>
        <w:ind w:left="2552" w:right="2" w:hanging="425"/>
      </w:pPr>
      <w:r>
        <w:t>“Chief Executive” includes any person designated in writing by the Chief Executive or the Commission</w:t>
      </w:r>
      <w:r w:rsidR="00840E51">
        <w:t>.</w:t>
      </w:r>
      <w:r w:rsidR="00AA7E33">
        <w:t>”</w:t>
      </w:r>
      <w:r w:rsidR="00F94A9D">
        <w:t>.</w:t>
      </w:r>
      <w:r w:rsidR="00C40EDB">
        <w:t xml:space="preserve"> </w:t>
      </w:r>
      <w:r w:rsidR="00917ED5">
        <w:t>(</w:t>
      </w:r>
      <w:r w:rsidR="00267023">
        <w:t>ii</w:t>
      </w:r>
      <w:r w:rsidR="008B0473">
        <w:t>)</w:t>
      </w:r>
      <w:r w:rsidR="008B0473">
        <w:tab/>
      </w:r>
      <w:r w:rsidR="00FB6E8E">
        <w:t>i</w:t>
      </w:r>
      <w:r w:rsidR="00797FAD">
        <w:t>n the defi</w:t>
      </w:r>
      <w:r w:rsidR="00FB6E8E">
        <w:t>ni</w:t>
      </w:r>
      <w:r w:rsidR="00797FAD">
        <w:t xml:space="preserve">tion of “information” </w:t>
      </w:r>
      <w:r w:rsidR="00B40997">
        <w:t xml:space="preserve">by deleting the words </w:t>
      </w:r>
      <w:r w:rsidR="00FB6E8E">
        <w:t>“</w:t>
      </w:r>
      <w:r w:rsidR="00B40997">
        <w:t>paragraph (b)</w:t>
      </w:r>
      <w:r w:rsidR="00FB6E8E">
        <w:t>”</w:t>
      </w:r>
      <w:r w:rsidR="00B40997">
        <w:t xml:space="preserve"> and substituting </w:t>
      </w:r>
      <w:r w:rsidR="004C6447">
        <w:t>the words “subsection (2)(b).”.</w:t>
      </w:r>
    </w:p>
    <w:p w14:paraId="0E636276" w14:textId="6BBF1DCE" w:rsidR="00A75148" w:rsidRPr="00E346DD" w:rsidRDefault="00917ED5" w:rsidP="00EE3ECA">
      <w:pPr>
        <w:pStyle w:val="iLAWS300Article"/>
        <w:tabs>
          <w:tab w:val="left" w:pos="1134"/>
        </w:tabs>
        <w:spacing w:after="69" w:line="259" w:lineRule="auto"/>
        <w:rPr>
          <w:rFonts w:ascii="Arial" w:hAnsi="Arial" w:cs="Arial"/>
        </w:rPr>
      </w:pPr>
      <w:bookmarkStart w:id="14" w:name="_Toc150754295"/>
      <w:r>
        <w:rPr>
          <w:rFonts w:ascii="Arial" w:eastAsia="Calibri" w:hAnsi="Arial" w:cs="Arial"/>
        </w:rPr>
        <w:t>9</w:t>
      </w:r>
      <w:r w:rsidR="00A75148" w:rsidRPr="00E346DD">
        <w:rPr>
          <w:rFonts w:ascii="Arial" w:eastAsia="Calibri" w:hAnsi="Arial" w:cs="Arial"/>
        </w:rPr>
        <w:t>.</w:t>
      </w:r>
      <w:r w:rsidR="00A75148" w:rsidRPr="00E346DD">
        <w:rPr>
          <w:rFonts w:ascii="Arial" w:eastAsia="Calibri" w:hAnsi="Arial" w:cs="Arial"/>
        </w:rPr>
        <w:tab/>
      </w:r>
      <w:r w:rsidR="00A75148" w:rsidRPr="00E346DD">
        <w:rPr>
          <w:rFonts w:ascii="Arial" w:eastAsia="Arial" w:hAnsi="Arial" w:cs="Arial"/>
        </w:rPr>
        <w:t xml:space="preserve">Section </w:t>
      </w:r>
      <w:r w:rsidR="00A75148">
        <w:rPr>
          <w:rFonts w:ascii="Arial" w:eastAsia="Arial" w:hAnsi="Arial" w:cs="Arial"/>
        </w:rPr>
        <w:t>4</w:t>
      </w:r>
      <w:r w:rsidR="00D074BA">
        <w:rPr>
          <w:rFonts w:ascii="Arial" w:eastAsia="Arial" w:hAnsi="Arial" w:cs="Arial"/>
        </w:rPr>
        <w:t>4</w:t>
      </w:r>
      <w:r w:rsidR="00A75148" w:rsidRPr="00E346DD">
        <w:rPr>
          <w:rFonts w:ascii="Arial" w:eastAsia="Arial" w:hAnsi="Arial" w:cs="Arial"/>
        </w:rPr>
        <w:t xml:space="preserve"> of the principal Act amended</w:t>
      </w:r>
      <w:bookmarkEnd w:id="14"/>
      <w:r w:rsidR="00A75148" w:rsidRPr="00E346DD">
        <w:rPr>
          <w:rFonts w:ascii="Arial" w:hAnsi="Arial" w:cs="Arial"/>
        </w:rPr>
        <w:t xml:space="preserve"> </w:t>
      </w:r>
    </w:p>
    <w:p w14:paraId="1E593327" w14:textId="6B2352B1" w:rsidR="00D074BA" w:rsidRDefault="00D074BA" w:rsidP="00917ED5">
      <w:pPr>
        <w:tabs>
          <w:tab w:val="left" w:pos="567"/>
          <w:tab w:val="left" w:pos="1134"/>
        </w:tabs>
        <w:spacing w:before="120" w:after="120" w:line="247" w:lineRule="auto"/>
        <w:ind w:left="567" w:right="2" w:firstLine="0"/>
      </w:pPr>
      <w:r>
        <w:t>Section 44 of the principal Act is amended by inserting after subsection (</w:t>
      </w:r>
      <w:r w:rsidR="00EE3ECA">
        <w:t>4</w:t>
      </w:r>
      <w:r>
        <w:t>)</w:t>
      </w:r>
      <w:r w:rsidR="00460411">
        <w:t xml:space="preserve"> </w:t>
      </w:r>
      <w:r>
        <w:t xml:space="preserve">the following </w:t>
      </w:r>
      <w:r w:rsidR="005119E4">
        <w:t xml:space="preserve">new </w:t>
      </w:r>
      <w:r>
        <w:t>subsection</w:t>
      </w:r>
      <w:r w:rsidR="00EE3ECA">
        <w:t>s</w:t>
      </w:r>
      <w:r w:rsidR="00AE6BA3">
        <w:t xml:space="preserve"> </w:t>
      </w:r>
      <w:r>
        <w:t>—</w:t>
      </w:r>
    </w:p>
    <w:p w14:paraId="20F41A04" w14:textId="7B561C29" w:rsidR="00EE3ECA" w:rsidRDefault="00EE3ECA" w:rsidP="00917ED5">
      <w:pPr>
        <w:spacing w:after="111"/>
        <w:ind w:left="1701" w:right="0" w:hanging="567"/>
      </w:pPr>
      <w:r>
        <w:t>“(5)</w:t>
      </w:r>
      <w:r>
        <w:tab/>
        <w:t xml:space="preserve">Subject </w:t>
      </w:r>
      <w:r w:rsidRPr="006F0A89">
        <w:t xml:space="preserve">to subsection (6), any person required to attend and answer questions or otherwise furnish information or to produce any specified documents or any documents of a specified class shall not, without reasonable excuse, fail to </w:t>
      </w:r>
      <w:r>
        <w:t xml:space="preserve">attend or </w:t>
      </w:r>
      <w:r w:rsidRPr="006F0A89">
        <w:t>answer</w:t>
      </w:r>
      <w:r>
        <w:t xml:space="preserve"> or</w:t>
      </w:r>
      <w:r w:rsidRPr="006F0A89">
        <w:t xml:space="preserve"> a question or furnish information or produce a document or class of documents. </w:t>
      </w:r>
    </w:p>
    <w:p w14:paraId="640242B1" w14:textId="2FC62E06" w:rsidR="009949B6" w:rsidRDefault="00EE3ECA" w:rsidP="00917ED5">
      <w:pPr>
        <w:tabs>
          <w:tab w:val="left" w:pos="1134"/>
          <w:tab w:val="left" w:pos="1701"/>
        </w:tabs>
        <w:ind w:left="1701" w:right="2" w:hanging="567"/>
      </w:pPr>
      <w:r>
        <w:t>(6)</w:t>
      </w:r>
      <w:r>
        <w:tab/>
      </w:r>
      <w:r w:rsidRPr="006F0A89">
        <w:t>It shall be a reasonable excuse, for the purposes of subsection (5), for a person to refuse or fail to answer a question put to him or to refuse or fail to produce a document or class of documents that he was required to produce, where the answer to the question or the production of the document or class of documents might tend to incriminate him.</w:t>
      </w:r>
      <w:r>
        <w:t>”.</w:t>
      </w:r>
    </w:p>
    <w:p w14:paraId="5ADEC979" w14:textId="26021E59" w:rsidR="009949B6" w:rsidRPr="00E346DD" w:rsidRDefault="00917ED5" w:rsidP="009949B6">
      <w:pPr>
        <w:pStyle w:val="iLAWS300Article"/>
        <w:rPr>
          <w:rFonts w:ascii="Arial" w:hAnsi="Arial" w:cs="Arial"/>
        </w:rPr>
      </w:pPr>
      <w:bookmarkStart w:id="15" w:name="_Toc150754296"/>
      <w:r>
        <w:rPr>
          <w:rFonts w:ascii="Arial" w:eastAsia="Calibri" w:hAnsi="Arial" w:cs="Arial"/>
        </w:rPr>
        <w:t>10</w:t>
      </w:r>
      <w:r w:rsidR="009949B6" w:rsidRPr="00E346DD">
        <w:rPr>
          <w:rFonts w:ascii="Arial" w:eastAsia="Calibri" w:hAnsi="Arial" w:cs="Arial"/>
        </w:rPr>
        <w:tab/>
      </w:r>
      <w:r w:rsidR="009949B6" w:rsidRPr="00E346DD">
        <w:rPr>
          <w:rFonts w:ascii="Arial" w:eastAsia="Arial" w:hAnsi="Arial" w:cs="Arial"/>
        </w:rPr>
        <w:t>S</w:t>
      </w:r>
      <w:r w:rsidR="009949B6">
        <w:rPr>
          <w:rFonts w:ascii="Arial" w:eastAsia="Arial" w:hAnsi="Arial" w:cs="Arial"/>
        </w:rPr>
        <w:t>e</w:t>
      </w:r>
      <w:r w:rsidR="009949B6" w:rsidRPr="00E346DD">
        <w:rPr>
          <w:rFonts w:ascii="Arial" w:eastAsia="Arial" w:hAnsi="Arial" w:cs="Arial"/>
        </w:rPr>
        <w:t xml:space="preserve">ction </w:t>
      </w:r>
      <w:r w:rsidR="009949B6">
        <w:rPr>
          <w:rFonts w:ascii="Arial" w:eastAsia="Arial" w:hAnsi="Arial" w:cs="Arial"/>
        </w:rPr>
        <w:t>5</w:t>
      </w:r>
      <w:r w:rsidR="00C66E93">
        <w:rPr>
          <w:rFonts w:ascii="Arial" w:eastAsia="Arial" w:hAnsi="Arial" w:cs="Arial"/>
        </w:rPr>
        <w:t>0</w:t>
      </w:r>
      <w:r w:rsidR="009949B6" w:rsidRPr="00E346DD">
        <w:rPr>
          <w:rFonts w:ascii="Arial" w:eastAsia="Arial" w:hAnsi="Arial" w:cs="Arial"/>
        </w:rPr>
        <w:t xml:space="preserve"> of the principal Act amended</w:t>
      </w:r>
      <w:bookmarkEnd w:id="15"/>
    </w:p>
    <w:p w14:paraId="758BDF5F" w14:textId="69CCB1D0" w:rsidR="00AF1416" w:rsidRDefault="00C66E93" w:rsidP="005B5B9D">
      <w:pPr>
        <w:tabs>
          <w:tab w:val="left" w:pos="1134"/>
          <w:tab w:val="left" w:pos="1701"/>
        </w:tabs>
        <w:spacing w:before="120" w:after="120" w:line="247" w:lineRule="auto"/>
        <w:ind w:left="567" w:right="0" w:firstLine="0"/>
      </w:pPr>
      <w:r>
        <w:t>Section 50 of the principal Act is amended</w:t>
      </w:r>
      <w:r w:rsidR="003E4DCC">
        <w:t xml:space="preserve"> —</w:t>
      </w:r>
      <w:r>
        <w:t xml:space="preserve"> </w:t>
      </w:r>
    </w:p>
    <w:p w14:paraId="7D028504" w14:textId="3BCCE088" w:rsidR="00AF1416" w:rsidRPr="00D523DE" w:rsidRDefault="00C66E93" w:rsidP="005B5B9D">
      <w:pPr>
        <w:pStyle w:val="ListParagraph"/>
        <w:numPr>
          <w:ilvl w:val="0"/>
          <w:numId w:val="15"/>
        </w:numPr>
        <w:tabs>
          <w:tab w:val="left" w:pos="1134"/>
          <w:tab w:val="left" w:pos="1701"/>
        </w:tabs>
        <w:ind w:left="1134" w:right="2" w:hanging="567"/>
      </w:pPr>
      <w:r>
        <w:t xml:space="preserve">in subsection (1) by deleting the </w:t>
      </w:r>
      <w:r w:rsidRPr="00D523DE">
        <w:t>introductory words/</w:t>
      </w:r>
      <w:r w:rsidR="00AF1416" w:rsidRPr="00D523DE">
        <w:t>chapeau</w:t>
      </w:r>
      <w:r w:rsidRPr="00D523DE">
        <w:t xml:space="preserve"> and substituting the </w:t>
      </w:r>
      <w:r w:rsidR="00AF1416" w:rsidRPr="00D523DE">
        <w:t>following words —</w:t>
      </w:r>
    </w:p>
    <w:p w14:paraId="51D7772C" w14:textId="354DCF83" w:rsidR="00116A69" w:rsidRDefault="00AF1416" w:rsidP="005B5B9D">
      <w:pPr>
        <w:tabs>
          <w:tab w:val="left" w:pos="1134"/>
          <w:tab w:val="left" w:pos="1701"/>
        </w:tabs>
        <w:ind w:left="1134" w:right="2" w:firstLine="0"/>
      </w:pPr>
      <w:r w:rsidRPr="00D523DE">
        <w:t>“</w:t>
      </w:r>
      <w:r w:rsidR="00C32174" w:rsidRPr="00D523DE">
        <w:t>(1)</w:t>
      </w:r>
      <w:r w:rsidR="00C32174" w:rsidRPr="00D523DE">
        <w:tab/>
      </w:r>
      <w:r w:rsidR="009949B6" w:rsidRPr="00D523DE">
        <w:t xml:space="preserve">Where, on an application by the Commission on its own behalf or on behalf of a foreign supervisory </w:t>
      </w:r>
      <w:r w:rsidR="00234B75" w:rsidRPr="00D523DE">
        <w:t>institution</w:t>
      </w:r>
      <w:r w:rsidR="009949B6" w:rsidRPr="00D523DE">
        <w:t>, the Judge in Chambers is satisfied that the Commission has reasonable grounds to suspect that a person has committed or is committing an offence under the relevant Acts or has been involved in a financial crime in Mauritius or in another jurisdiction, the Judge in Chambers may order</w:t>
      </w:r>
      <w:r w:rsidR="00B04D99" w:rsidRPr="00D523DE">
        <w:t xml:space="preserve"> —”</w:t>
      </w:r>
    </w:p>
    <w:p w14:paraId="6AB0DFBF" w14:textId="0D725884" w:rsidR="005B7157" w:rsidRDefault="00A70257" w:rsidP="006B2DD4">
      <w:pPr>
        <w:pStyle w:val="ListParagraph"/>
        <w:numPr>
          <w:ilvl w:val="0"/>
          <w:numId w:val="15"/>
        </w:numPr>
        <w:tabs>
          <w:tab w:val="left" w:pos="567"/>
          <w:tab w:val="left" w:pos="1134"/>
          <w:tab w:val="left" w:pos="1701"/>
        </w:tabs>
        <w:ind w:left="1134" w:right="2" w:hanging="567"/>
      </w:pPr>
      <w:r>
        <w:t xml:space="preserve">in subsection </w:t>
      </w:r>
      <w:r w:rsidR="00B80E6A">
        <w:t xml:space="preserve">(2)(a) by deleting the words “in this Act” and substituting </w:t>
      </w:r>
      <w:r w:rsidR="00A413AA">
        <w:t>the orders “to which the order relates”</w:t>
      </w:r>
      <w:r w:rsidR="005B7157">
        <w:t>;</w:t>
      </w:r>
    </w:p>
    <w:p w14:paraId="0E81C766" w14:textId="54319C46" w:rsidR="00DA1432" w:rsidRDefault="005B7157" w:rsidP="006B2DD4">
      <w:pPr>
        <w:pStyle w:val="ListParagraph"/>
        <w:numPr>
          <w:ilvl w:val="0"/>
          <w:numId w:val="15"/>
        </w:numPr>
        <w:tabs>
          <w:tab w:val="left" w:pos="567"/>
          <w:tab w:val="left" w:pos="1134"/>
          <w:tab w:val="left" w:pos="1701"/>
        </w:tabs>
        <w:ind w:left="1134" w:right="2" w:hanging="567"/>
      </w:pPr>
      <w:r>
        <w:t>in subsection (</w:t>
      </w:r>
      <w:r w:rsidR="00DF6A91">
        <w:t xml:space="preserve">8) by inserting after the words “financial crime” the words </w:t>
      </w:r>
      <w:r w:rsidR="007D5CAB">
        <w:t>“in Mauritius or in another jurisdiction</w:t>
      </w:r>
      <w:r w:rsidR="003A2B47">
        <w:t>”</w:t>
      </w:r>
      <w:r w:rsidR="00B04D99">
        <w:t>.</w:t>
      </w:r>
    </w:p>
    <w:p w14:paraId="2E2DFA1E" w14:textId="5C814F77" w:rsidR="004A060D" w:rsidRPr="00E346DD" w:rsidRDefault="00917ED5" w:rsidP="004A060D">
      <w:pPr>
        <w:pStyle w:val="iLAWS300Article"/>
        <w:rPr>
          <w:rFonts w:ascii="Arial" w:hAnsi="Arial" w:cs="Arial"/>
        </w:rPr>
      </w:pPr>
      <w:bookmarkStart w:id="16" w:name="_Toc150754297"/>
      <w:bookmarkStart w:id="17" w:name="_Hlk148202459"/>
      <w:bookmarkStart w:id="18" w:name="_Toc136474878"/>
      <w:bookmarkStart w:id="19" w:name="_Toc136481690"/>
      <w:r>
        <w:rPr>
          <w:rFonts w:ascii="Arial" w:eastAsia="Calibri" w:hAnsi="Arial" w:cs="Arial"/>
        </w:rPr>
        <w:t>11</w:t>
      </w:r>
      <w:r w:rsidR="004A060D" w:rsidRPr="00E346DD">
        <w:rPr>
          <w:rFonts w:ascii="Arial" w:eastAsia="Calibri" w:hAnsi="Arial" w:cs="Arial"/>
        </w:rPr>
        <w:tab/>
      </w:r>
      <w:r w:rsidR="004A060D" w:rsidRPr="00E346DD">
        <w:rPr>
          <w:rFonts w:ascii="Arial" w:eastAsia="Arial" w:hAnsi="Arial" w:cs="Arial"/>
        </w:rPr>
        <w:t>S</w:t>
      </w:r>
      <w:r w:rsidR="00D66337">
        <w:rPr>
          <w:rFonts w:ascii="Arial" w:eastAsia="Arial" w:hAnsi="Arial" w:cs="Arial"/>
        </w:rPr>
        <w:t>e</w:t>
      </w:r>
      <w:r w:rsidR="004A060D" w:rsidRPr="00E346DD">
        <w:rPr>
          <w:rFonts w:ascii="Arial" w:eastAsia="Arial" w:hAnsi="Arial" w:cs="Arial"/>
        </w:rPr>
        <w:t xml:space="preserve">ction </w:t>
      </w:r>
      <w:r w:rsidR="004A060D">
        <w:rPr>
          <w:rFonts w:ascii="Arial" w:eastAsia="Arial" w:hAnsi="Arial" w:cs="Arial"/>
        </w:rPr>
        <w:t>5</w:t>
      </w:r>
      <w:r w:rsidR="005D6822">
        <w:rPr>
          <w:rFonts w:ascii="Arial" w:eastAsia="Arial" w:hAnsi="Arial" w:cs="Arial"/>
        </w:rPr>
        <w:t>3</w:t>
      </w:r>
      <w:r w:rsidR="004A060D" w:rsidRPr="00E346DD">
        <w:rPr>
          <w:rFonts w:ascii="Arial" w:eastAsia="Arial" w:hAnsi="Arial" w:cs="Arial"/>
        </w:rPr>
        <w:t xml:space="preserve"> of the principal Act amended</w:t>
      </w:r>
      <w:bookmarkEnd w:id="16"/>
    </w:p>
    <w:bookmarkEnd w:id="17"/>
    <w:p w14:paraId="34E125DE" w14:textId="4126C5B5" w:rsidR="004A060D" w:rsidRDefault="004A060D" w:rsidP="00F9239B">
      <w:pPr>
        <w:spacing w:before="240" w:after="120" w:line="247" w:lineRule="auto"/>
        <w:ind w:left="567" w:right="0" w:firstLine="0"/>
      </w:pPr>
      <w:r>
        <w:t xml:space="preserve">Section </w:t>
      </w:r>
      <w:r w:rsidR="00995A02">
        <w:t>53</w:t>
      </w:r>
      <w:r>
        <w:t xml:space="preserve"> of the principal Act is amended by repealing subsection (</w:t>
      </w:r>
      <w:r w:rsidR="005D6822">
        <w:t>6A</w:t>
      </w:r>
      <w:r>
        <w:t>) and replacing it by the following subsection</w:t>
      </w:r>
      <w:bookmarkStart w:id="20" w:name="_Hlk148328693"/>
      <w:r>
        <w:t xml:space="preserve"> —</w:t>
      </w:r>
      <w:bookmarkEnd w:id="20"/>
    </w:p>
    <w:p w14:paraId="5BA4CAD9" w14:textId="051EB374" w:rsidR="004A060D" w:rsidRDefault="00F9239B" w:rsidP="006B2DD4">
      <w:pPr>
        <w:ind w:left="1701" w:right="1187" w:hanging="703"/>
        <w:rPr>
          <w:rFonts w:ascii="Arial" w:eastAsia="Calibri" w:hAnsi="Arial" w:cs="Arial"/>
        </w:rPr>
      </w:pPr>
      <w:r>
        <w:t>“</w:t>
      </w:r>
      <w:r w:rsidR="004A060D">
        <w:t>(6A)</w:t>
      </w:r>
      <w:r w:rsidR="006B2DD4">
        <w:tab/>
      </w:r>
      <w:r w:rsidR="00E217E5">
        <w:t>The</w:t>
      </w:r>
      <w:r w:rsidR="000827CA">
        <w:t xml:space="preserve"> </w:t>
      </w:r>
      <w:r w:rsidR="0072531B">
        <w:t>E</w:t>
      </w:r>
      <w:r w:rsidR="005D6822">
        <w:t>nforcement Committee</w:t>
      </w:r>
      <w:r w:rsidR="00F5361D">
        <w:t xml:space="preserve"> </w:t>
      </w:r>
      <w:r>
        <w:t>shall</w:t>
      </w:r>
      <w:r w:rsidR="00F5361D">
        <w:t xml:space="preserve">, </w:t>
      </w:r>
      <w:r w:rsidR="006D4D11">
        <w:t>in such form and manner as the Chief Executive determine</w:t>
      </w:r>
      <w:r w:rsidR="00B44E2A">
        <w:t>s</w:t>
      </w:r>
      <w:r w:rsidR="006D4D11">
        <w:t xml:space="preserve">, publish a decision made by the Enforcement Committee if it is </w:t>
      </w:r>
      <w:r w:rsidR="00527B93">
        <w:t>in the public interest to do so.</w:t>
      </w:r>
      <w:r w:rsidR="000827CA">
        <w:t>”</w:t>
      </w:r>
      <w:r>
        <w:t>.</w:t>
      </w:r>
    </w:p>
    <w:p w14:paraId="14D69509" w14:textId="2B1099D3" w:rsidR="003F4E90" w:rsidRPr="0067067C" w:rsidRDefault="00F75BDC" w:rsidP="003F4E90">
      <w:pPr>
        <w:pStyle w:val="iLAWS300Article"/>
        <w:rPr>
          <w:rFonts w:ascii="Arial" w:eastAsia="Arial" w:hAnsi="Arial" w:cs="Arial"/>
        </w:rPr>
      </w:pPr>
      <w:bookmarkStart w:id="21" w:name="_Toc150754298"/>
      <w:r>
        <w:rPr>
          <w:rFonts w:ascii="Arial" w:eastAsia="Calibri" w:hAnsi="Arial" w:cs="Arial"/>
        </w:rPr>
        <w:t>1</w:t>
      </w:r>
      <w:r w:rsidR="00917ED5">
        <w:rPr>
          <w:rFonts w:ascii="Arial" w:eastAsia="Calibri" w:hAnsi="Arial" w:cs="Arial"/>
        </w:rPr>
        <w:t>2</w:t>
      </w:r>
      <w:r w:rsidR="003F4E90" w:rsidRPr="0067067C">
        <w:rPr>
          <w:rFonts w:ascii="Arial" w:eastAsia="Arial" w:hAnsi="Arial" w:cs="Arial"/>
        </w:rPr>
        <w:tab/>
        <w:t>Commencement</w:t>
      </w:r>
      <w:bookmarkEnd w:id="18"/>
      <w:bookmarkEnd w:id="19"/>
      <w:bookmarkEnd w:id="21"/>
    </w:p>
    <w:p w14:paraId="0720402E" w14:textId="77777777" w:rsidR="003F4E90" w:rsidRPr="0067067C" w:rsidRDefault="003F4E90" w:rsidP="005119E4">
      <w:pPr>
        <w:spacing w:before="240" w:after="120" w:line="247" w:lineRule="auto"/>
        <w:ind w:left="1134" w:right="2" w:hanging="567"/>
        <w:rPr>
          <w:rFonts w:eastAsia="Arial"/>
        </w:rPr>
      </w:pPr>
      <w:bookmarkStart w:id="22" w:name="_Toc136474879"/>
      <w:r w:rsidRPr="00F066FC">
        <w:rPr>
          <w:rFonts w:ascii="Arial" w:eastAsia="Arial" w:hAnsi="Arial" w:cs="Arial"/>
        </w:rPr>
        <w:t>(</w:t>
      </w:r>
      <w:r w:rsidRPr="0067067C">
        <w:rPr>
          <w:rFonts w:eastAsia="Arial"/>
        </w:rPr>
        <w:t>1)</w:t>
      </w:r>
      <w:r w:rsidRPr="0067067C">
        <w:rPr>
          <w:rFonts w:eastAsia="Arial"/>
        </w:rPr>
        <w:tab/>
        <w:t>Subject to subsection (2), this Act shall come into operation on a date to be fixed by Proclamation.</w:t>
      </w:r>
      <w:bookmarkEnd w:id="22"/>
    </w:p>
    <w:p w14:paraId="7B4AEA3E" w14:textId="4804D266" w:rsidR="003F4E90" w:rsidRPr="0067067C" w:rsidRDefault="003F4E90" w:rsidP="00863F9D">
      <w:pPr>
        <w:ind w:left="1134" w:right="2" w:hanging="567"/>
        <w:rPr>
          <w:rFonts w:eastAsia="Arial"/>
        </w:rPr>
      </w:pPr>
      <w:bookmarkStart w:id="23" w:name="_Toc136474880"/>
      <w:r w:rsidRPr="0067067C">
        <w:rPr>
          <w:rFonts w:eastAsia="Arial"/>
        </w:rPr>
        <w:t>(2)</w:t>
      </w:r>
      <w:r w:rsidRPr="0067067C">
        <w:rPr>
          <w:rFonts w:eastAsia="Arial"/>
        </w:rPr>
        <w:tab/>
        <w:t>Different dates may be f</w:t>
      </w:r>
      <w:r>
        <w:rPr>
          <w:rFonts w:eastAsia="Arial"/>
        </w:rPr>
        <w:t>i</w:t>
      </w:r>
      <w:r w:rsidRPr="0067067C">
        <w:rPr>
          <w:rFonts w:eastAsia="Arial"/>
        </w:rPr>
        <w:t>xed for the coming into operation of different provisions of</w:t>
      </w:r>
      <w:r w:rsidR="00081DE2">
        <w:rPr>
          <w:rFonts w:eastAsia="Arial"/>
        </w:rPr>
        <w:t xml:space="preserve"> </w:t>
      </w:r>
      <w:r w:rsidRPr="0067067C">
        <w:rPr>
          <w:rFonts w:eastAsia="Arial"/>
        </w:rPr>
        <w:t>this Act.</w:t>
      </w:r>
      <w:bookmarkEnd w:id="23"/>
    </w:p>
    <w:sectPr w:rsidR="003F4E90" w:rsidRPr="0067067C">
      <w:footerReference w:type="default" r:id="rId8"/>
      <w:pgSz w:w="11906" w:h="16841"/>
      <w:pgMar w:top="1135" w:right="1554" w:bottom="11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9D01" w14:textId="77777777" w:rsidR="004C42EF" w:rsidRDefault="004C42EF" w:rsidP="00BE1274">
      <w:pPr>
        <w:spacing w:after="0" w:line="240" w:lineRule="auto"/>
      </w:pPr>
      <w:r>
        <w:separator/>
      </w:r>
    </w:p>
  </w:endnote>
  <w:endnote w:type="continuationSeparator" w:id="0">
    <w:p w14:paraId="667C23E3" w14:textId="77777777" w:rsidR="004C42EF" w:rsidRDefault="004C42EF" w:rsidP="00BE1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765290"/>
      <w:docPartObj>
        <w:docPartGallery w:val="Page Numbers (Bottom of Page)"/>
        <w:docPartUnique/>
      </w:docPartObj>
    </w:sdtPr>
    <w:sdtEndPr>
      <w:rPr>
        <w:noProof/>
      </w:rPr>
    </w:sdtEndPr>
    <w:sdtContent>
      <w:p w14:paraId="323B98BA" w14:textId="3DEC81B2" w:rsidR="00361A28" w:rsidRDefault="00361A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ECE81E" w14:textId="77777777" w:rsidR="00361A28" w:rsidRDefault="00361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AB272" w14:textId="77777777" w:rsidR="004C42EF" w:rsidRDefault="004C42EF" w:rsidP="00BE1274">
      <w:pPr>
        <w:spacing w:after="0" w:line="240" w:lineRule="auto"/>
      </w:pPr>
      <w:r>
        <w:separator/>
      </w:r>
    </w:p>
  </w:footnote>
  <w:footnote w:type="continuationSeparator" w:id="0">
    <w:p w14:paraId="2D70BFE0" w14:textId="77777777" w:rsidR="004C42EF" w:rsidRDefault="004C42EF" w:rsidP="00BE1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171"/>
    <w:multiLevelType w:val="hybridMultilevel"/>
    <w:tmpl w:val="3E9C3298"/>
    <w:lvl w:ilvl="0" w:tplc="1E8C6266">
      <w:start w:val="1"/>
      <w:numFmt w:val="decimal"/>
      <w:lvlText w:val="(%1)"/>
      <w:lvlJc w:val="left"/>
      <w:pPr>
        <w:ind w:left="1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3A877C">
      <w:start w:val="1"/>
      <w:numFmt w:val="lowerLetter"/>
      <w:lvlText w:val="(%2)"/>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7AF89A">
      <w:start w:val="1"/>
      <w:numFmt w:val="lowerRoman"/>
      <w:lvlText w:val="%3"/>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D6537A">
      <w:start w:val="1"/>
      <w:numFmt w:val="decimal"/>
      <w:lvlText w:val="%4"/>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5AFCC2">
      <w:start w:val="1"/>
      <w:numFmt w:val="lowerLetter"/>
      <w:lvlText w:val="%5"/>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5E9A28">
      <w:start w:val="1"/>
      <w:numFmt w:val="lowerRoman"/>
      <w:lvlText w:val="%6"/>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DEDAEE">
      <w:start w:val="1"/>
      <w:numFmt w:val="decimal"/>
      <w:lvlText w:val="%7"/>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F054EA">
      <w:start w:val="1"/>
      <w:numFmt w:val="lowerLetter"/>
      <w:lvlText w:val="%8"/>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2CE474">
      <w:start w:val="1"/>
      <w:numFmt w:val="lowerRoman"/>
      <w:lvlText w:val="%9"/>
      <w:lvlJc w:val="left"/>
      <w:pPr>
        <w:ind w:left="6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C82EDF"/>
    <w:multiLevelType w:val="hybridMultilevel"/>
    <w:tmpl w:val="87F411A0"/>
    <w:lvl w:ilvl="0" w:tplc="274CD6F8">
      <w:start w:val="1"/>
      <w:numFmt w:val="lowerRoman"/>
      <w:lvlText w:val="(%1)"/>
      <w:lvlJc w:val="left"/>
      <w:pPr>
        <w:ind w:left="2875" w:hanging="720"/>
      </w:pPr>
      <w:rPr>
        <w:rFonts w:hint="default"/>
      </w:rPr>
    </w:lvl>
    <w:lvl w:ilvl="1" w:tplc="08090019" w:tentative="1">
      <w:start w:val="1"/>
      <w:numFmt w:val="lowerLetter"/>
      <w:lvlText w:val="%2."/>
      <w:lvlJc w:val="left"/>
      <w:pPr>
        <w:ind w:left="3235" w:hanging="360"/>
      </w:pPr>
    </w:lvl>
    <w:lvl w:ilvl="2" w:tplc="0809001B" w:tentative="1">
      <w:start w:val="1"/>
      <w:numFmt w:val="lowerRoman"/>
      <w:lvlText w:val="%3."/>
      <w:lvlJc w:val="right"/>
      <w:pPr>
        <w:ind w:left="3955" w:hanging="180"/>
      </w:pPr>
    </w:lvl>
    <w:lvl w:ilvl="3" w:tplc="0809000F" w:tentative="1">
      <w:start w:val="1"/>
      <w:numFmt w:val="decimal"/>
      <w:lvlText w:val="%4."/>
      <w:lvlJc w:val="left"/>
      <w:pPr>
        <w:ind w:left="4675" w:hanging="360"/>
      </w:pPr>
    </w:lvl>
    <w:lvl w:ilvl="4" w:tplc="08090019" w:tentative="1">
      <w:start w:val="1"/>
      <w:numFmt w:val="lowerLetter"/>
      <w:lvlText w:val="%5."/>
      <w:lvlJc w:val="left"/>
      <w:pPr>
        <w:ind w:left="5395" w:hanging="360"/>
      </w:pPr>
    </w:lvl>
    <w:lvl w:ilvl="5" w:tplc="0809001B" w:tentative="1">
      <w:start w:val="1"/>
      <w:numFmt w:val="lowerRoman"/>
      <w:lvlText w:val="%6."/>
      <w:lvlJc w:val="right"/>
      <w:pPr>
        <w:ind w:left="6115" w:hanging="180"/>
      </w:pPr>
    </w:lvl>
    <w:lvl w:ilvl="6" w:tplc="0809000F" w:tentative="1">
      <w:start w:val="1"/>
      <w:numFmt w:val="decimal"/>
      <w:lvlText w:val="%7."/>
      <w:lvlJc w:val="left"/>
      <w:pPr>
        <w:ind w:left="6835" w:hanging="360"/>
      </w:pPr>
    </w:lvl>
    <w:lvl w:ilvl="7" w:tplc="08090019" w:tentative="1">
      <w:start w:val="1"/>
      <w:numFmt w:val="lowerLetter"/>
      <w:lvlText w:val="%8."/>
      <w:lvlJc w:val="left"/>
      <w:pPr>
        <w:ind w:left="7555" w:hanging="360"/>
      </w:pPr>
    </w:lvl>
    <w:lvl w:ilvl="8" w:tplc="0809001B" w:tentative="1">
      <w:start w:val="1"/>
      <w:numFmt w:val="lowerRoman"/>
      <w:lvlText w:val="%9."/>
      <w:lvlJc w:val="right"/>
      <w:pPr>
        <w:ind w:left="8275" w:hanging="180"/>
      </w:pPr>
    </w:lvl>
  </w:abstractNum>
  <w:abstractNum w:abstractNumId="2" w15:restartNumberingAfterBreak="0">
    <w:nsid w:val="0D1175AD"/>
    <w:multiLevelType w:val="hybridMultilevel"/>
    <w:tmpl w:val="8EF82242"/>
    <w:lvl w:ilvl="0" w:tplc="1D0C9B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745B91"/>
    <w:multiLevelType w:val="hybridMultilevel"/>
    <w:tmpl w:val="6C2A1BE6"/>
    <w:lvl w:ilvl="0" w:tplc="BD6EDF7E">
      <w:start w:val="1"/>
      <w:numFmt w:val="lowerLetter"/>
      <w:lvlText w:val="(%1)"/>
      <w:lvlJc w:val="left"/>
      <w:pPr>
        <w:ind w:left="1435" w:hanging="576"/>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4" w15:restartNumberingAfterBreak="0">
    <w:nsid w:val="2FCD14B2"/>
    <w:multiLevelType w:val="hybridMultilevel"/>
    <w:tmpl w:val="484E3024"/>
    <w:lvl w:ilvl="0" w:tplc="FFFFFFFF">
      <w:start w:val="1"/>
      <w:numFmt w:val="decimal"/>
      <w:lvlText w:val="(%1)"/>
      <w:lvlJc w:val="left"/>
      <w:pPr>
        <w:ind w:left="1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664949"/>
    <w:multiLevelType w:val="hybridMultilevel"/>
    <w:tmpl w:val="5F56F7FA"/>
    <w:lvl w:ilvl="0" w:tplc="E0E2D0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0C4999"/>
    <w:multiLevelType w:val="hybridMultilevel"/>
    <w:tmpl w:val="68449020"/>
    <w:lvl w:ilvl="0" w:tplc="FC9EBEE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537A4694"/>
    <w:multiLevelType w:val="hybridMultilevel"/>
    <w:tmpl w:val="E8C0B51A"/>
    <w:lvl w:ilvl="0" w:tplc="6616B5A0">
      <w:start w:val="1"/>
      <w:numFmt w:val="decimal"/>
      <w:lvlText w:val="(%1)"/>
      <w:lvlJc w:val="left"/>
      <w:pPr>
        <w:ind w:left="1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6EC1BE">
      <w:start w:val="1"/>
      <w:numFmt w:val="lowerLetter"/>
      <w:lvlText w:val="(%2)"/>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06512A">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AC022C">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16CA26">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62FFB8">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8AAB90">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421DBA">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E8891E">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50D0B75"/>
    <w:multiLevelType w:val="hybridMultilevel"/>
    <w:tmpl w:val="484E3024"/>
    <w:lvl w:ilvl="0" w:tplc="FFFFFFFF">
      <w:start w:val="1"/>
      <w:numFmt w:val="decimal"/>
      <w:lvlText w:val="(%1)"/>
      <w:lvlJc w:val="left"/>
      <w:pPr>
        <w:ind w:left="1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55326B9"/>
    <w:multiLevelType w:val="hybridMultilevel"/>
    <w:tmpl w:val="A9BAF3A4"/>
    <w:lvl w:ilvl="0" w:tplc="5630CE8E">
      <w:start w:val="1"/>
      <w:numFmt w:val="lowerLetter"/>
      <w:lvlText w:val="(%1)"/>
      <w:lvlJc w:val="left"/>
      <w:pPr>
        <w:ind w:left="1810" w:hanging="360"/>
      </w:pPr>
      <w:rPr>
        <w:rFonts w:hint="default"/>
      </w:rPr>
    </w:lvl>
    <w:lvl w:ilvl="1" w:tplc="08090019" w:tentative="1">
      <w:start w:val="1"/>
      <w:numFmt w:val="lowerLetter"/>
      <w:lvlText w:val="%2."/>
      <w:lvlJc w:val="left"/>
      <w:pPr>
        <w:ind w:left="2530" w:hanging="360"/>
      </w:pPr>
    </w:lvl>
    <w:lvl w:ilvl="2" w:tplc="0809001B" w:tentative="1">
      <w:start w:val="1"/>
      <w:numFmt w:val="lowerRoman"/>
      <w:lvlText w:val="%3."/>
      <w:lvlJc w:val="right"/>
      <w:pPr>
        <w:ind w:left="3250" w:hanging="180"/>
      </w:pPr>
    </w:lvl>
    <w:lvl w:ilvl="3" w:tplc="0809000F" w:tentative="1">
      <w:start w:val="1"/>
      <w:numFmt w:val="decimal"/>
      <w:lvlText w:val="%4."/>
      <w:lvlJc w:val="left"/>
      <w:pPr>
        <w:ind w:left="3970" w:hanging="360"/>
      </w:pPr>
    </w:lvl>
    <w:lvl w:ilvl="4" w:tplc="08090019" w:tentative="1">
      <w:start w:val="1"/>
      <w:numFmt w:val="lowerLetter"/>
      <w:lvlText w:val="%5."/>
      <w:lvlJc w:val="left"/>
      <w:pPr>
        <w:ind w:left="4690" w:hanging="360"/>
      </w:pPr>
    </w:lvl>
    <w:lvl w:ilvl="5" w:tplc="0809001B" w:tentative="1">
      <w:start w:val="1"/>
      <w:numFmt w:val="lowerRoman"/>
      <w:lvlText w:val="%6."/>
      <w:lvlJc w:val="right"/>
      <w:pPr>
        <w:ind w:left="5410" w:hanging="180"/>
      </w:pPr>
    </w:lvl>
    <w:lvl w:ilvl="6" w:tplc="0809000F" w:tentative="1">
      <w:start w:val="1"/>
      <w:numFmt w:val="decimal"/>
      <w:lvlText w:val="%7."/>
      <w:lvlJc w:val="left"/>
      <w:pPr>
        <w:ind w:left="6130" w:hanging="360"/>
      </w:pPr>
    </w:lvl>
    <w:lvl w:ilvl="7" w:tplc="08090019" w:tentative="1">
      <w:start w:val="1"/>
      <w:numFmt w:val="lowerLetter"/>
      <w:lvlText w:val="%8."/>
      <w:lvlJc w:val="left"/>
      <w:pPr>
        <w:ind w:left="6850" w:hanging="360"/>
      </w:pPr>
    </w:lvl>
    <w:lvl w:ilvl="8" w:tplc="0809001B" w:tentative="1">
      <w:start w:val="1"/>
      <w:numFmt w:val="lowerRoman"/>
      <w:lvlText w:val="%9."/>
      <w:lvlJc w:val="right"/>
      <w:pPr>
        <w:ind w:left="7570" w:hanging="180"/>
      </w:pPr>
    </w:lvl>
  </w:abstractNum>
  <w:abstractNum w:abstractNumId="10" w15:restartNumberingAfterBreak="0">
    <w:nsid w:val="55637DCD"/>
    <w:multiLevelType w:val="hybridMultilevel"/>
    <w:tmpl w:val="417CAC88"/>
    <w:lvl w:ilvl="0" w:tplc="D494BDF0">
      <w:start w:val="1"/>
      <w:numFmt w:val="lowerRoman"/>
      <w:lvlText w:val="(%1)"/>
      <w:lvlJc w:val="left"/>
      <w:pPr>
        <w:ind w:left="2155" w:hanging="720"/>
      </w:pPr>
      <w:rPr>
        <w:rFonts w:hint="default"/>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11" w15:restartNumberingAfterBreak="0">
    <w:nsid w:val="6479360D"/>
    <w:multiLevelType w:val="hybridMultilevel"/>
    <w:tmpl w:val="4BB27ACE"/>
    <w:lvl w:ilvl="0" w:tplc="7CBA5E8A">
      <w:start w:val="1"/>
      <w:numFmt w:val="lowerRoman"/>
      <w:lvlText w:val="(%1)"/>
      <w:lvlJc w:val="left"/>
      <w:pPr>
        <w:ind w:left="2558" w:hanging="720"/>
      </w:pPr>
      <w:rPr>
        <w:rFonts w:ascii="Times New Roman" w:eastAsia="Times New Roman" w:hAnsi="Times New Roman" w:cs="Times New Roman" w:hint="default"/>
      </w:rPr>
    </w:lvl>
    <w:lvl w:ilvl="1" w:tplc="08090019" w:tentative="1">
      <w:start w:val="1"/>
      <w:numFmt w:val="lowerLetter"/>
      <w:lvlText w:val="%2."/>
      <w:lvlJc w:val="left"/>
      <w:pPr>
        <w:ind w:left="2918" w:hanging="360"/>
      </w:pPr>
    </w:lvl>
    <w:lvl w:ilvl="2" w:tplc="0809001B" w:tentative="1">
      <w:start w:val="1"/>
      <w:numFmt w:val="lowerRoman"/>
      <w:lvlText w:val="%3."/>
      <w:lvlJc w:val="right"/>
      <w:pPr>
        <w:ind w:left="3638" w:hanging="180"/>
      </w:pPr>
    </w:lvl>
    <w:lvl w:ilvl="3" w:tplc="0809000F" w:tentative="1">
      <w:start w:val="1"/>
      <w:numFmt w:val="decimal"/>
      <w:lvlText w:val="%4."/>
      <w:lvlJc w:val="left"/>
      <w:pPr>
        <w:ind w:left="4358" w:hanging="360"/>
      </w:pPr>
    </w:lvl>
    <w:lvl w:ilvl="4" w:tplc="08090019" w:tentative="1">
      <w:start w:val="1"/>
      <w:numFmt w:val="lowerLetter"/>
      <w:lvlText w:val="%5."/>
      <w:lvlJc w:val="left"/>
      <w:pPr>
        <w:ind w:left="5078" w:hanging="360"/>
      </w:pPr>
    </w:lvl>
    <w:lvl w:ilvl="5" w:tplc="0809001B" w:tentative="1">
      <w:start w:val="1"/>
      <w:numFmt w:val="lowerRoman"/>
      <w:lvlText w:val="%6."/>
      <w:lvlJc w:val="right"/>
      <w:pPr>
        <w:ind w:left="5798" w:hanging="180"/>
      </w:pPr>
    </w:lvl>
    <w:lvl w:ilvl="6" w:tplc="0809000F" w:tentative="1">
      <w:start w:val="1"/>
      <w:numFmt w:val="decimal"/>
      <w:lvlText w:val="%7."/>
      <w:lvlJc w:val="left"/>
      <w:pPr>
        <w:ind w:left="6518" w:hanging="360"/>
      </w:pPr>
    </w:lvl>
    <w:lvl w:ilvl="7" w:tplc="08090019" w:tentative="1">
      <w:start w:val="1"/>
      <w:numFmt w:val="lowerLetter"/>
      <w:lvlText w:val="%8."/>
      <w:lvlJc w:val="left"/>
      <w:pPr>
        <w:ind w:left="7238" w:hanging="360"/>
      </w:pPr>
    </w:lvl>
    <w:lvl w:ilvl="8" w:tplc="0809001B" w:tentative="1">
      <w:start w:val="1"/>
      <w:numFmt w:val="lowerRoman"/>
      <w:lvlText w:val="%9."/>
      <w:lvlJc w:val="right"/>
      <w:pPr>
        <w:ind w:left="7958" w:hanging="180"/>
      </w:pPr>
    </w:lvl>
  </w:abstractNum>
  <w:abstractNum w:abstractNumId="12" w15:restartNumberingAfterBreak="0">
    <w:nsid w:val="6489294E"/>
    <w:multiLevelType w:val="hybridMultilevel"/>
    <w:tmpl w:val="B00A0930"/>
    <w:lvl w:ilvl="0" w:tplc="C4440532">
      <w:start w:val="4"/>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4F6162"/>
    <w:multiLevelType w:val="hybridMultilevel"/>
    <w:tmpl w:val="CA689E46"/>
    <w:lvl w:ilvl="0" w:tplc="032ADEC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E852C6F"/>
    <w:multiLevelType w:val="hybridMultilevel"/>
    <w:tmpl w:val="12A2177E"/>
    <w:lvl w:ilvl="0" w:tplc="C2B2AA40">
      <w:start w:val="1"/>
      <w:numFmt w:val="lowerLetter"/>
      <w:lvlText w:val="(%1)"/>
      <w:lvlJc w:val="left"/>
      <w:pPr>
        <w:ind w:left="1435" w:hanging="360"/>
      </w:pPr>
      <w:rPr>
        <w:rFonts w:ascii="Times New Roman" w:eastAsia="Times New Roman" w:hAnsi="Times New Roman" w:cs="Times New Roman"/>
      </w:rPr>
    </w:lvl>
    <w:lvl w:ilvl="1" w:tplc="08090019" w:tentative="1">
      <w:start w:val="1"/>
      <w:numFmt w:val="lowerLetter"/>
      <w:lvlText w:val="%2."/>
      <w:lvlJc w:val="left"/>
      <w:pPr>
        <w:ind w:left="2155" w:hanging="360"/>
      </w:pPr>
    </w:lvl>
    <w:lvl w:ilvl="2" w:tplc="0809001B" w:tentative="1">
      <w:start w:val="1"/>
      <w:numFmt w:val="lowerRoman"/>
      <w:lvlText w:val="%3."/>
      <w:lvlJc w:val="right"/>
      <w:pPr>
        <w:ind w:left="2875" w:hanging="180"/>
      </w:pPr>
    </w:lvl>
    <w:lvl w:ilvl="3" w:tplc="0809000F" w:tentative="1">
      <w:start w:val="1"/>
      <w:numFmt w:val="decimal"/>
      <w:lvlText w:val="%4."/>
      <w:lvlJc w:val="left"/>
      <w:pPr>
        <w:ind w:left="3595" w:hanging="360"/>
      </w:pPr>
    </w:lvl>
    <w:lvl w:ilvl="4" w:tplc="08090019" w:tentative="1">
      <w:start w:val="1"/>
      <w:numFmt w:val="lowerLetter"/>
      <w:lvlText w:val="%5."/>
      <w:lvlJc w:val="left"/>
      <w:pPr>
        <w:ind w:left="4315" w:hanging="360"/>
      </w:pPr>
    </w:lvl>
    <w:lvl w:ilvl="5" w:tplc="0809001B" w:tentative="1">
      <w:start w:val="1"/>
      <w:numFmt w:val="lowerRoman"/>
      <w:lvlText w:val="%6."/>
      <w:lvlJc w:val="right"/>
      <w:pPr>
        <w:ind w:left="5035" w:hanging="180"/>
      </w:pPr>
    </w:lvl>
    <w:lvl w:ilvl="6" w:tplc="0809000F" w:tentative="1">
      <w:start w:val="1"/>
      <w:numFmt w:val="decimal"/>
      <w:lvlText w:val="%7."/>
      <w:lvlJc w:val="left"/>
      <w:pPr>
        <w:ind w:left="5755" w:hanging="360"/>
      </w:pPr>
    </w:lvl>
    <w:lvl w:ilvl="7" w:tplc="08090019" w:tentative="1">
      <w:start w:val="1"/>
      <w:numFmt w:val="lowerLetter"/>
      <w:lvlText w:val="%8."/>
      <w:lvlJc w:val="left"/>
      <w:pPr>
        <w:ind w:left="6475" w:hanging="360"/>
      </w:pPr>
    </w:lvl>
    <w:lvl w:ilvl="8" w:tplc="0809001B" w:tentative="1">
      <w:start w:val="1"/>
      <w:numFmt w:val="lowerRoman"/>
      <w:lvlText w:val="%9."/>
      <w:lvlJc w:val="right"/>
      <w:pPr>
        <w:ind w:left="7195" w:hanging="180"/>
      </w:pPr>
    </w:lvl>
  </w:abstractNum>
  <w:abstractNum w:abstractNumId="15" w15:restartNumberingAfterBreak="0">
    <w:nsid w:val="7AA847AD"/>
    <w:multiLevelType w:val="hybridMultilevel"/>
    <w:tmpl w:val="512C8CD8"/>
    <w:lvl w:ilvl="0" w:tplc="C8C025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4373009">
    <w:abstractNumId w:val="14"/>
  </w:num>
  <w:num w:numId="2" w16cid:durableId="1287734227">
    <w:abstractNumId w:val="0"/>
  </w:num>
  <w:num w:numId="3" w16cid:durableId="1511985369">
    <w:abstractNumId w:val="7"/>
  </w:num>
  <w:num w:numId="4" w16cid:durableId="1102843928">
    <w:abstractNumId w:val="3"/>
  </w:num>
  <w:num w:numId="5" w16cid:durableId="329795540">
    <w:abstractNumId w:val="10"/>
  </w:num>
  <w:num w:numId="6" w16cid:durableId="740369854">
    <w:abstractNumId w:val="2"/>
  </w:num>
  <w:num w:numId="7" w16cid:durableId="917128374">
    <w:abstractNumId w:val="5"/>
  </w:num>
  <w:num w:numId="8" w16cid:durableId="812136057">
    <w:abstractNumId w:val="4"/>
  </w:num>
  <w:num w:numId="9" w16cid:durableId="320235894">
    <w:abstractNumId w:val="8"/>
  </w:num>
  <w:num w:numId="10" w16cid:durableId="790173582">
    <w:abstractNumId w:val="12"/>
  </w:num>
  <w:num w:numId="11" w16cid:durableId="2100179961">
    <w:abstractNumId w:val="13"/>
  </w:num>
  <w:num w:numId="12" w16cid:durableId="944073049">
    <w:abstractNumId w:val="1"/>
  </w:num>
  <w:num w:numId="13" w16cid:durableId="2086103149">
    <w:abstractNumId w:val="9"/>
  </w:num>
  <w:num w:numId="14" w16cid:durableId="115802850">
    <w:abstractNumId w:val="11"/>
  </w:num>
  <w:num w:numId="15" w16cid:durableId="2115829802">
    <w:abstractNumId w:val="15"/>
  </w:num>
  <w:num w:numId="16" w16cid:durableId="102401415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62"/>
    <w:rsid w:val="00001E30"/>
    <w:rsid w:val="00004492"/>
    <w:rsid w:val="00012A4D"/>
    <w:rsid w:val="00024EB9"/>
    <w:rsid w:val="00045BB6"/>
    <w:rsid w:val="000472EC"/>
    <w:rsid w:val="0004759F"/>
    <w:rsid w:val="00052B25"/>
    <w:rsid w:val="00053F0B"/>
    <w:rsid w:val="000600BA"/>
    <w:rsid w:val="0006048B"/>
    <w:rsid w:val="000608D3"/>
    <w:rsid w:val="000717E7"/>
    <w:rsid w:val="00081DE2"/>
    <w:rsid w:val="0008236D"/>
    <w:rsid w:val="000827CA"/>
    <w:rsid w:val="000967DD"/>
    <w:rsid w:val="000A2B0A"/>
    <w:rsid w:val="000A3050"/>
    <w:rsid w:val="000B6326"/>
    <w:rsid w:val="000C1503"/>
    <w:rsid w:val="000D2C40"/>
    <w:rsid w:val="000D3D14"/>
    <w:rsid w:val="000E1764"/>
    <w:rsid w:val="000E529B"/>
    <w:rsid w:val="000F672D"/>
    <w:rsid w:val="000F68FC"/>
    <w:rsid w:val="001062A8"/>
    <w:rsid w:val="00113B2B"/>
    <w:rsid w:val="00113BF3"/>
    <w:rsid w:val="00116A69"/>
    <w:rsid w:val="00116A91"/>
    <w:rsid w:val="0012475F"/>
    <w:rsid w:val="00132073"/>
    <w:rsid w:val="001336E3"/>
    <w:rsid w:val="001416C6"/>
    <w:rsid w:val="00164E5B"/>
    <w:rsid w:val="00176F64"/>
    <w:rsid w:val="0018052F"/>
    <w:rsid w:val="001A3378"/>
    <w:rsid w:val="001B05F3"/>
    <w:rsid w:val="001B1301"/>
    <w:rsid w:val="001B14D5"/>
    <w:rsid w:val="001B4842"/>
    <w:rsid w:val="001C041F"/>
    <w:rsid w:val="001C1F69"/>
    <w:rsid w:val="001F123D"/>
    <w:rsid w:val="00203FA5"/>
    <w:rsid w:val="00210DF8"/>
    <w:rsid w:val="0021114F"/>
    <w:rsid w:val="002167FF"/>
    <w:rsid w:val="0022669A"/>
    <w:rsid w:val="00234B75"/>
    <w:rsid w:val="0024081B"/>
    <w:rsid w:val="00243ABB"/>
    <w:rsid w:val="002502CE"/>
    <w:rsid w:val="002512AF"/>
    <w:rsid w:val="00265B3F"/>
    <w:rsid w:val="00266F76"/>
    <w:rsid w:val="00267023"/>
    <w:rsid w:val="0028589B"/>
    <w:rsid w:val="00296CA7"/>
    <w:rsid w:val="00297714"/>
    <w:rsid w:val="002A4FD3"/>
    <w:rsid w:val="002A5DFC"/>
    <w:rsid w:val="002A637D"/>
    <w:rsid w:val="002A7447"/>
    <w:rsid w:val="002D691B"/>
    <w:rsid w:val="002D6FBF"/>
    <w:rsid w:val="002E4EED"/>
    <w:rsid w:val="002E5AF5"/>
    <w:rsid w:val="002F029D"/>
    <w:rsid w:val="002F6EFA"/>
    <w:rsid w:val="0030387F"/>
    <w:rsid w:val="0031290E"/>
    <w:rsid w:val="00312E22"/>
    <w:rsid w:val="003272F3"/>
    <w:rsid w:val="00343381"/>
    <w:rsid w:val="00352156"/>
    <w:rsid w:val="0035604C"/>
    <w:rsid w:val="00361A28"/>
    <w:rsid w:val="00366C8F"/>
    <w:rsid w:val="003716FF"/>
    <w:rsid w:val="00373696"/>
    <w:rsid w:val="00392167"/>
    <w:rsid w:val="003A15FC"/>
    <w:rsid w:val="003A2B47"/>
    <w:rsid w:val="003A4548"/>
    <w:rsid w:val="003D0AF8"/>
    <w:rsid w:val="003D14E1"/>
    <w:rsid w:val="003D6E87"/>
    <w:rsid w:val="003E4DCC"/>
    <w:rsid w:val="003F01DC"/>
    <w:rsid w:val="003F4E90"/>
    <w:rsid w:val="003F5FA5"/>
    <w:rsid w:val="0040535F"/>
    <w:rsid w:val="00405783"/>
    <w:rsid w:val="0042037A"/>
    <w:rsid w:val="00421C8F"/>
    <w:rsid w:val="00423B14"/>
    <w:rsid w:val="00423F5A"/>
    <w:rsid w:val="00434AF1"/>
    <w:rsid w:val="004361D4"/>
    <w:rsid w:val="00436DE3"/>
    <w:rsid w:val="0044117C"/>
    <w:rsid w:val="004447E4"/>
    <w:rsid w:val="00456BDC"/>
    <w:rsid w:val="00460411"/>
    <w:rsid w:val="004644C1"/>
    <w:rsid w:val="00465BAF"/>
    <w:rsid w:val="00466431"/>
    <w:rsid w:val="00472767"/>
    <w:rsid w:val="00481939"/>
    <w:rsid w:val="00484345"/>
    <w:rsid w:val="00491FA9"/>
    <w:rsid w:val="004A060D"/>
    <w:rsid w:val="004B4984"/>
    <w:rsid w:val="004B5E4F"/>
    <w:rsid w:val="004C015D"/>
    <w:rsid w:val="004C2AEC"/>
    <w:rsid w:val="004C42EF"/>
    <w:rsid w:val="004C433B"/>
    <w:rsid w:val="004C6447"/>
    <w:rsid w:val="005006F3"/>
    <w:rsid w:val="005119E4"/>
    <w:rsid w:val="00512335"/>
    <w:rsid w:val="005135FC"/>
    <w:rsid w:val="005165F8"/>
    <w:rsid w:val="00516B98"/>
    <w:rsid w:val="00527B93"/>
    <w:rsid w:val="00530761"/>
    <w:rsid w:val="00537937"/>
    <w:rsid w:val="00546927"/>
    <w:rsid w:val="005609FF"/>
    <w:rsid w:val="00565D46"/>
    <w:rsid w:val="00566A53"/>
    <w:rsid w:val="00567AAC"/>
    <w:rsid w:val="00572EEF"/>
    <w:rsid w:val="005843AB"/>
    <w:rsid w:val="00584E49"/>
    <w:rsid w:val="00597070"/>
    <w:rsid w:val="0059774C"/>
    <w:rsid w:val="00597952"/>
    <w:rsid w:val="005A2E75"/>
    <w:rsid w:val="005B5B9D"/>
    <w:rsid w:val="005B7157"/>
    <w:rsid w:val="005D6822"/>
    <w:rsid w:val="005F315D"/>
    <w:rsid w:val="0060182B"/>
    <w:rsid w:val="00601B19"/>
    <w:rsid w:val="006209E9"/>
    <w:rsid w:val="00625455"/>
    <w:rsid w:val="006310FE"/>
    <w:rsid w:val="00641359"/>
    <w:rsid w:val="00644D4B"/>
    <w:rsid w:val="00651F24"/>
    <w:rsid w:val="00662852"/>
    <w:rsid w:val="00664153"/>
    <w:rsid w:val="00664B08"/>
    <w:rsid w:val="0066726A"/>
    <w:rsid w:val="00667EC7"/>
    <w:rsid w:val="00670972"/>
    <w:rsid w:val="00673DCE"/>
    <w:rsid w:val="006746D5"/>
    <w:rsid w:val="00680A75"/>
    <w:rsid w:val="00692896"/>
    <w:rsid w:val="00692AC1"/>
    <w:rsid w:val="00693CFE"/>
    <w:rsid w:val="00694117"/>
    <w:rsid w:val="0069411E"/>
    <w:rsid w:val="00696BAC"/>
    <w:rsid w:val="006B0179"/>
    <w:rsid w:val="006B044A"/>
    <w:rsid w:val="006B1C83"/>
    <w:rsid w:val="006B2DD4"/>
    <w:rsid w:val="006D2F3E"/>
    <w:rsid w:val="006D4D11"/>
    <w:rsid w:val="006E042E"/>
    <w:rsid w:val="006E3AA7"/>
    <w:rsid w:val="006E5E32"/>
    <w:rsid w:val="006E751F"/>
    <w:rsid w:val="006F131B"/>
    <w:rsid w:val="006F526D"/>
    <w:rsid w:val="00703C97"/>
    <w:rsid w:val="00706804"/>
    <w:rsid w:val="00710A75"/>
    <w:rsid w:val="0072531B"/>
    <w:rsid w:val="00744601"/>
    <w:rsid w:val="007532B4"/>
    <w:rsid w:val="00755BC1"/>
    <w:rsid w:val="00757B83"/>
    <w:rsid w:val="00757F95"/>
    <w:rsid w:val="00762106"/>
    <w:rsid w:val="0076386A"/>
    <w:rsid w:val="0076596A"/>
    <w:rsid w:val="00774DAE"/>
    <w:rsid w:val="00780697"/>
    <w:rsid w:val="00790055"/>
    <w:rsid w:val="00790269"/>
    <w:rsid w:val="00797FAD"/>
    <w:rsid w:val="007A0532"/>
    <w:rsid w:val="007A129B"/>
    <w:rsid w:val="007A571D"/>
    <w:rsid w:val="007A6BA7"/>
    <w:rsid w:val="007B0912"/>
    <w:rsid w:val="007B7583"/>
    <w:rsid w:val="007C2FFB"/>
    <w:rsid w:val="007D2B6A"/>
    <w:rsid w:val="007D5CAB"/>
    <w:rsid w:val="007E68A9"/>
    <w:rsid w:val="007E78C8"/>
    <w:rsid w:val="007F163A"/>
    <w:rsid w:val="008140BC"/>
    <w:rsid w:val="00817CB6"/>
    <w:rsid w:val="00835A01"/>
    <w:rsid w:val="00840889"/>
    <w:rsid w:val="00840E51"/>
    <w:rsid w:val="00850694"/>
    <w:rsid w:val="00850D25"/>
    <w:rsid w:val="00852663"/>
    <w:rsid w:val="00852FC8"/>
    <w:rsid w:val="00863F9D"/>
    <w:rsid w:val="00873F5E"/>
    <w:rsid w:val="00874535"/>
    <w:rsid w:val="00881F4F"/>
    <w:rsid w:val="00883439"/>
    <w:rsid w:val="008907F3"/>
    <w:rsid w:val="00894766"/>
    <w:rsid w:val="00894FAA"/>
    <w:rsid w:val="00896BD7"/>
    <w:rsid w:val="008A1FAA"/>
    <w:rsid w:val="008B0473"/>
    <w:rsid w:val="008C28E5"/>
    <w:rsid w:val="008C41D2"/>
    <w:rsid w:val="008C7A7B"/>
    <w:rsid w:val="008D0C10"/>
    <w:rsid w:val="008E42AA"/>
    <w:rsid w:val="0090679C"/>
    <w:rsid w:val="00913525"/>
    <w:rsid w:val="00917ED5"/>
    <w:rsid w:val="0093651A"/>
    <w:rsid w:val="00945C5D"/>
    <w:rsid w:val="00951CE2"/>
    <w:rsid w:val="00952E65"/>
    <w:rsid w:val="00956212"/>
    <w:rsid w:val="00967159"/>
    <w:rsid w:val="00976D08"/>
    <w:rsid w:val="009949B6"/>
    <w:rsid w:val="00995A02"/>
    <w:rsid w:val="0099666B"/>
    <w:rsid w:val="00996BA7"/>
    <w:rsid w:val="009A130F"/>
    <w:rsid w:val="009A1DA7"/>
    <w:rsid w:val="009A6714"/>
    <w:rsid w:val="009C351F"/>
    <w:rsid w:val="009C3B82"/>
    <w:rsid w:val="009C78EE"/>
    <w:rsid w:val="009D680B"/>
    <w:rsid w:val="009E27DB"/>
    <w:rsid w:val="009E3E78"/>
    <w:rsid w:val="00A0279B"/>
    <w:rsid w:val="00A140C2"/>
    <w:rsid w:val="00A16916"/>
    <w:rsid w:val="00A25746"/>
    <w:rsid w:val="00A37928"/>
    <w:rsid w:val="00A413AA"/>
    <w:rsid w:val="00A6035E"/>
    <w:rsid w:val="00A65281"/>
    <w:rsid w:val="00A70257"/>
    <w:rsid w:val="00A75148"/>
    <w:rsid w:val="00A7597B"/>
    <w:rsid w:val="00A7773E"/>
    <w:rsid w:val="00A81A60"/>
    <w:rsid w:val="00A847D8"/>
    <w:rsid w:val="00AA1791"/>
    <w:rsid w:val="00AA7E33"/>
    <w:rsid w:val="00AB0A70"/>
    <w:rsid w:val="00AB3143"/>
    <w:rsid w:val="00AD0EDC"/>
    <w:rsid w:val="00AE07BB"/>
    <w:rsid w:val="00AE6BA3"/>
    <w:rsid w:val="00AF1182"/>
    <w:rsid w:val="00AF1416"/>
    <w:rsid w:val="00AF6B68"/>
    <w:rsid w:val="00B01154"/>
    <w:rsid w:val="00B0185C"/>
    <w:rsid w:val="00B04D99"/>
    <w:rsid w:val="00B114A5"/>
    <w:rsid w:val="00B15D49"/>
    <w:rsid w:val="00B20570"/>
    <w:rsid w:val="00B23B92"/>
    <w:rsid w:val="00B32769"/>
    <w:rsid w:val="00B33643"/>
    <w:rsid w:val="00B40997"/>
    <w:rsid w:val="00B44E2A"/>
    <w:rsid w:val="00B52B2B"/>
    <w:rsid w:val="00B56D80"/>
    <w:rsid w:val="00B62C4D"/>
    <w:rsid w:val="00B65232"/>
    <w:rsid w:val="00B6550C"/>
    <w:rsid w:val="00B65B60"/>
    <w:rsid w:val="00B66224"/>
    <w:rsid w:val="00B67789"/>
    <w:rsid w:val="00B72974"/>
    <w:rsid w:val="00B75527"/>
    <w:rsid w:val="00B756BF"/>
    <w:rsid w:val="00B77220"/>
    <w:rsid w:val="00B80E6A"/>
    <w:rsid w:val="00B83693"/>
    <w:rsid w:val="00B9366C"/>
    <w:rsid w:val="00BA66AA"/>
    <w:rsid w:val="00BB324A"/>
    <w:rsid w:val="00BC0E65"/>
    <w:rsid w:val="00BC2CA9"/>
    <w:rsid w:val="00BD2336"/>
    <w:rsid w:val="00BE1274"/>
    <w:rsid w:val="00BE1622"/>
    <w:rsid w:val="00BE65CB"/>
    <w:rsid w:val="00BF5032"/>
    <w:rsid w:val="00C03A82"/>
    <w:rsid w:val="00C07210"/>
    <w:rsid w:val="00C10A4A"/>
    <w:rsid w:val="00C12643"/>
    <w:rsid w:val="00C24BF2"/>
    <w:rsid w:val="00C3192B"/>
    <w:rsid w:val="00C32174"/>
    <w:rsid w:val="00C40EDB"/>
    <w:rsid w:val="00C45E36"/>
    <w:rsid w:val="00C47E1D"/>
    <w:rsid w:val="00C66E93"/>
    <w:rsid w:val="00C92354"/>
    <w:rsid w:val="00CB0078"/>
    <w:rsid w:val="00CB02F0"/>
    <w:rsid w:val="00CB0D44"/>
    <w:rsid w:val="00CC15C5"/>
    <w:rsid w:val="00CC61EA"/>
    <w:rsid w:val="00CD7197"/>
    <w:rsid w:val="00CF03B2"/>
    <w:rsid w:val="00CF61FD"/>
    <w:rsid w:val="00CF7EAE"/>
    <w:rsid w:val="00D074BA"/>
    <w:rsid w:val="00D15DDC"/>
    <w:rsid w:val="00D16A8E"/>
    <w:rsid w:val="00D17054"/>
    <w:rsid w:val="00D17674"/>
    <w:rsid w:val="00D21436"/>
    <w:rsid w:val="00D223AB"/>
    <w:rsid w:val="00D26DEF"/>
    <w:rsid w:val="00D31E80"/>
    <w:rsid w:val="00D33BE5"/>
    <w:rsid w:val="00D44397"/>
    <w:rsid w:val="00D447BD"/>
    <w:rsid w:val="00D46725"/>
    <w:rsid w:val="00D47217"/>
    <w:rsid w:val="00D523DE"/>
    <w:rsid w:val="00D64005"/>
    <w:rsid w:val="00D66337"/>
    <w:rsid w:val="00D86068"/>
    <w:rsid w:val="00D8676D"/>
    <w:rsid w:val="00D91F3B"/>
    <w:rsid w:val="00D92462"/>
    <w:rsid w:val="00D97675"/>
    <w:rsid w:val="00DA1432"/>
    <w:rsid w:val="00DA2F97"/>
    <w:rsid w:val="00DC3B7C"/>
    <w:rsid w:val="00DD0F9E"/>
    <w:rsid w:val="00DD15EB"/>
    <w:rsid w:val="00DD6C9F"/>
    <w:rsid w:val="00DF2E60"/>
    <w:rsid w:val="00DF6A91"/>
    <w:rsid w:val="00DF77DB"/>
    <w:rsid w:val="00E00474"/>
    <w:rsid w:val="00E01CD4"/>
    <w:rsid w:val="00E217E5"/>
    <w:rsid w:val="00E21C9F"/>
    <w:rsid w:val="00E236B5"/>
    <w:rsid w:val="00E30403"/>
    <w:rsid w:val="00E31139"/>
    <w:rsid w:val="00E346DD"/>
    <w:rsid w:val="00E34C0D"/>
    <w:rsid w:val="00E355F1"/>
    <w:rsid w:val="00E41373"/>
    <w:rsid w:val="00E425BE"/>
    <w:rsid w:val="00E431E1"/>
    <w:rsid w:val="00E4528B"/>
    <w:rsid w:val="00E51D46"/>
    <w:rsid w:val="00E62C70"/>
    <w:rsid w:val="00E72EA7"/>
    <w:rsid w:val="00E8430A"/>
    <w:rsid w:val="00E935A8"/>
    <w:rsid w:val="00EA35C8"/>
    <w:rsid w:val="00EA399E"/>
    <w:rsid w:val="00EB2291"/>
    <w:rsid w:val="00EE3ECA"/>
    <w:rsid w:val="00EF6D91"/>
    <w:rsid w:val="00F16CF8"/>
    <w:rsid w:val="00F32B82"/>
    <w:rsid w:val="00F37996"/>
    <w:rsid w:val="00F5361D"/>
    <w:rsid w:val="00F63290"/>
    <w:rsid w:val="00F66487"/>
    <w:rsid w:val="00F7102C"/>
    <w:rsid w:val="00F75B0A"/>
    <w:rsid w:val="00F75BDC"/>
    <w:rsid w:val="00F84A85"/>
    <w:rsid w:val="00F9239B"/>
    <w:rsid w:val="00F94A9D"/>
    <w:rsid w:val="00F95776"/>
    <w:rsid w:val="00FB3E74"/>
    <w:rsid w:val="00FB5CC2"/>
    <w:rsid w:val="00FB6E8E"/>
    <w:rsid w:val="00FC1FE5"/>
    <w:rsid w:val="00FC2483"/>
    <w:rsid w:val="00FE08BC"/>
    <w:rsid w:val="00FF1BFA"/>
    <w:rsid w:val="00FF5182"/>
    <w:rsid w:val="00FF6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9E2C7"/>
  <w15:docId w15:val="{89BA1910-A1FC-4A74-B8E8-BAED6BB3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BAC"/>
    <w:pPr>
      <w:spacing w:after="177" w:line="248" w:lineRule="auto"/>
      <w:ind w:left="8" w:right="1167" w:hanging="8"/>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64" w:line="250" w:lineRule="auto"/>
      <w:ind w:left="10" w:right="571"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64" w:line="250" w:lineRule="auto"/>
      <w:ind w:left="10" w:right="571"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64" w:line="250" w:lineRule="auto"/>
      <w:ind w:left="10" w:right="571"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164" w:line="250" w:lineRule="auto"/>
      <w:ind w:left="10" w:right="571"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paragraph" w:styleId="Revision">
    <w:name w:val="Revision"/>
    <w:hidden/>
    <w:uiPriority w:val="99"/>
    <w:semiHidden/>
    <w:rsid w:val="002F029D"/>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E34C0D"/>
    <w:pPr>
      <w:ind w:left="720"/>
      <w:contextualSpacing/>
    </w:pPr>
  </w:style>
  <w:style w:type="paragraph" w:styleId="Header">
    <w:name w:val="header"/>
    <w:basedOn w:val="Normal"/>
    <w:link w:val="HeaderChar"/>
    <w:uiPriority w:val="99"/>
    <w:unhideWhenUsed/>
    <w:rsid w:val="00BE1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274"/>
    <w:rPr>
      <w:rFonts w:ascii="Times New Roman" w:eastAsia="Times New Roman" w:hAnsi="Times New Roman" w:cs="Times New Roman"/>
      <w:color w:val="000000"/>
    </w:rPr>
  </w:style>
  <w:style w:type="paragraph" w:styleId="Footer">
    <w:name w:val="footer"/>
    <w:basedOn w:val="Normal"/>
    <w:link w:val="FooterChar"/>
    <w:uiPriority w:val="99"/>
    <w:unhideWhenUsed/>
    <w:rsid w:val="00BE1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274"/>
    <w:rPr>
      <w:rFonts w:ascii="Times New Roman" w:eastAsia="Times New Roman" w:hAnsi="Times New Roman" w:cs="Times New Roman"/>
      <w:color w:val="000000"/>
    </w:rPr>
  </w:style>
  <w:style w:type="paragraph" w:styleId="TOCHeading">
    <w:name w:val="TOC Heading"/>
    <w:basedOn w:val="Heading1"/>
    <w:next w:val="Normal"/>
    <w:uiPriority w:val="39"/>
    <w:unhideWhenUsed/>
    <w:qFormat/>
    <w:rsid w:val="00405783"/>
    <w:pPr>
      <w:spacing w:before="240" w:after="0" w:line="259" w:lineRule="auto"/>
      <w:ind w:left="0" w:righ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CF7EAE"/>
    <w:pPr>
      <w:tabs>
        <w:tab w:val="left" w:pos="660"/>
        <w:tab w:val="right" w:leader="dot" w:pos="9622"/>
      </w:tabs>
      <w:spacing w:after="100"/>
      <w:ind w:left="220"/>
    </w:pPr>
  </w:style>
  <w:style w:type="paragraph" w:styleId="TOC3">
    <w:name w:val="toc 3"/>
    <w:basedOn w:val="Normal"/>
    <w:next w:val="Normal"/>
    <w:autoRedefine/>
    <w:uiPriority w:val="39"/>
    <w:unhideWhenUsed/>
    <w:rsid w:val="00AF1182"/>
    <w:pPr>
      <w:tabs>
        <w:tab w:val="left" w:pos="880"/>
        <w:tab w:val="right" w:leader="dot" w:pos="9622"/>
      </w:tabs>
      <w:spacing w:after="100"/>
      <w:ind w:left="440"/>
    </w:pPr>
  </w:style>
  <w:style w:type="character" w:styleId="Hyperlink">
    <w:name w:val="Hyperlink"/>
    <w:basedOn w:val="DefaultParagraphFont"/>
    <w:uiPriority w:val="99"/>
    <w:unhideWhenUsed/>
    <w:rsid w:val="00405783"/>
    <w:rPr>
      <w:color w:val="0563C1" w:themeColor="hyperlink"/>
      <w:u w:val="single"/>
    </w:rPr>
  </w:style>
  <w:style w:type="paragraph" w:styleId="TOC1">
    <w:name w:val="toc 1"/>
    <w:basedOn w:val="Normal"/>
    <w:next w:val="Normal"/>
    <w:autoRedefine/>
    <w:uiPriority w:val="39"/>
    <w:unhideWhenUsed/>
    <w:rsid w:val="00CF7EAE"/>
    <w:pPr>
      <w:spacing w:after="100"/>
      <w:ind w:left="0"/>
    </w:pPr>
  </w:style>
  <w:style w:type="paragraph" w:customStyle="1" w:styleId="iLAWS300Article">
    <w:name w:val="iLAWS_300_Article"/>
    <w:next w:val="Normal"/>
    <w:rsid w:val="003F4E90"/>
    <w:pPr>
      <w:keepNext/>
      <w:tabs>
        <w:tab w:val="left" w:pos="567"/>
      </w:tabs>
      <w:suppressAutoHyphens/>
      <w:spacing w:before="480" w:after="0" w:line="240" w:lineRule="auto"/>
      <w:ind w:left="567" w:hanging="567"/>
      <w:outlineLvl w:val="2"/>
    </w:pPr>
    <w:rPr>
      <w:rFonts w:ascii="Calibri" w:eastAsia="Times New Roman" w:hAnsi="Calibri" w:cs="Times New Roman"/>
      <w:b/>
      <w:sz w:val="24"/>
      <w:lang w:eastAsia="en-US"/>
    </w:rPr>
  </w:style>
  <w:style w:type="character" w:styleId="CommentReference">
    <w:name w:val="annotation reference"/>
    <w:basedOn w:val="DefaultParagraphFont"/>
    <w:uiPriority w:val="99"/>
    <w:semiHidden/>
    <w:unhideWhenUsed/>
    <w:rsid w:val="00A25746"/>
    <w:rPr>
      <w:sz w:val="16"/>
      <w:szCs w:val="16"/>
    </w:rPr>
  </w:style>
  <w:style w:type="paragraph" w:styleId="CommentText">
    <w:name w:val="annotation text"/>
    <w:basedOn w:val="Normal"/>
    <w:link w:val="CommentTextChar"/>
    <w:uiPriority w:val="99"/>
    <w:unhideWhenUsed/>
    <w:rsid w:val="00A25746"/>
    <w:pPr>
      <w:spacing w:line="240" w:lineRule="auto"/>
    </w:pPr>
    <w:rPr>
      <w:sz w:val="20"/>
      <w:szCs w:val="20"/>
    </w:rPr>
  </w:style>
  <w:style w:type="character" w:customStyle="1" w:styleId="CommentTextChar">
    <w:name w:val="Comment Text Char"/>
    <w:basedOn w:val="DefaultParagraphFont"/>
    <w:link w:val="CommentText"/>
    <w:uiPriority w:val="99"/>
    <w:rsid w:val="00A2574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25746"/>
    <w:rPr>
      <w:b/>
      <w:bCs/>
    </w:rPr>
  </w:style>
  <w:style w:type="character" w:customStyle="1" w:styleId="CommentSubjectChar">
    <w:name w:val="Comment Subject Char"/>
    <w:basedOn w:val="CommentTextChar"/>
    <w:link w:val="CommentSubject"/>
    <w:uiPriority w:val="99"/>
    <w:semiHidden/>
    <w:rsid w:val="00A25746"/>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A25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746"/>
    <w:rPr>
      <w:rFonts w:ascii="Segoe UI" w:eastAsia="Times New Roman" w:hAnsi="Segoe UI" w:cs="Segoe UI"/>
      <w:color w:val="000000"/>
      <w:sz w:val="18"/>
      <w:szCs w:val="18"/>
    </w:rPr>
  </w:style>
  <w:style w:type="paragraph" w:styleId="NoSpacing">
    <w:name w:val="No Spacing"/>
    <w:uiPriority w:val="1"/>
    <w:qFormat/>
    <w:rsid w:val="007B7583"/>
    <w:pPr>
      <w:spacing w:after="0" w:line="240" w:lineRule="auto"/>
      <w:ind w:left="8" w:right="1167" w:hanging="8"/>
      <w:jc w:val="both"/>
    </w:pPr>
    <w:rPr>
      <w:rFonts w:ascii="Times New Roman" w:eastAsia="Times New Roman" w:hAnsi="Times New Roman" w:cs="Times New Roman"/>
      <w:color w:val="000000"/>
    </w:rPr>
  </w:style>
  <w:style w:type="paragraph" w:customStyle="1" w:styleId="iLAWS310Paragraph">
    <w:name w:val="iLAWS_310__Paragraph"/>
    <w:rsid w:val="0042037A"/>
    <w:pPr>
      <w:tabs>
        <w:tab w:val="left" w:pos="1134"/>
      </w:tabs>
      <w:suppressAutoHyphens/>
      <w:spacing w:before="80" w:after="40" w:line="240" w:lineRule="auto"/>
      <w:ind w:left="1134" w:hanging="567"/>
      <w:jc w:val="both"/>
    </w:pPr>
    <w:rPr>
      <w:rFonts w:ascii="Times New Roman" w:eastAsia="MS Mincho"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4CEB-ADEC-4592-9296-0EB896193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REVISED LAWS OF MAURITIUS 2000</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LAWS OF MAURITIUS 2000</dc:title>
  <dc:subject/>
  <dc:creator>K</dc:creator>
  <cp:keywords/>
  <cp:lastModifiedBy>MOOLNA Kawthar</cp:lastModifiedBy>
  <cp:revision>4</cp:revision>
  <cp:lastPrinted>2023-12-18T11:52:00Z</cp:lastPrinted>
  <dcterms:created xsi:type="dcterms:W3CDTF">2023-12-06T12:37:00Z</dcterms:created>
  <dcterms:modified xsi:type="dcterms:W3CDTF">2023-12-20T10:24:00Z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d4fd4c72b78b048b1b9f91bcf5efe9cbe9e6b4b25e7d7e910646dd61def4de73</vt:lpwstr>
  </property>
</Properties>
</file>