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3F8" w14:textId="58C5C1A1" w:rsidR="001015F8" w:rsidRPr="00FD4110" w:rsidRDefault="001015F8" w:rsidP="000359EE">
      <w:pPr>
        <w:spacing w:after="161" w:line="250" w:lineRule="auto"/>
        <w:ind w:left="588" w:right="1150" w:hanging="10"/>
        <w:jc w:val="center"/>
        <w:rPr>
          <w:rFonts w:ascii="Arial" w:hAnsi="Arial" w:cs="Arial"/>
          <w:b/>
          <w:color w:val="FF0000"/>
        </w:rPr>
      </w:pPr>
      <w:r w:rsidRPr="00FD4110">
        <w:rPr>
          <w:rFonts w:ascii="Arial" w:hAnsi="Arial" w:cs="Arial"/>
          <w:b/>
          <w:color w:val="FF0000"/>
        </w:rPr>
        <w:t xml:space="preserve">DRAFT </w:t>
      </w:r>
      <w:r w:rsidR="006D4833">
        <w:rPr>
          <w:rFonts w:ascii="Arial" w:hAnsi="Arial" w:cs="Arial"/>
          <w:b/>
          <w:color w:val="FF0000"/>
        </w:rPr>
        <w:t>1.1</w:t>
      </w:r>
      <w:r w:rsidR="00174322">
        <w:rPr>
          <w:rFonts w:ascii="Arial" w:hAnsi="Arial" w:cs="Arial"/>
          <w:b/>
          <w:color w:val="FF0000"/>
        </w:rPr>
        <w:t>2</w:t>
      </w:r>
      <w:r w:rsidR="006D4833">
        <w:rPr>
          <w:rFonts w:ascii="Arial" w:hAnsi="Arial" w:cs="Arial"/>
          <w:b/>
          <w:color w:val="FF0000"/>
        </w:rPr>
        <w:t>.</w:t>
      </w:r>
      <w:r w:rsidRPr="00FD4110">
        <w:rPr>
          <w:rFonts w:ascii="Arial" w:hAnsi="Arial" w:cs="Arial"/>
          <w:b/>
          <w:color w:val="FF0000"/>
        </w:rPr>
        <w:t>2023</w:t>
      </w:r>
    </w:p>
    <w:p w14:paraId="29BCD949" w14:textId="4A4A582E" w:rsidR="00D92462" w:rsidRDefault="0059774C" w:rsidP="000359EE">
      <w:pPr>
        <w:spacing w:after="161" w:line="250" w:lineRule="auto"/>
        <w:ind w:left="588" w:right="1150" w:hanging="10"/>
        <w:jc w:val="center"/>
        <w:rPr>
          <w:rFonts w:ascii="Arial" w:hAnsi="Arial" w:cs="Arial"/>
          <w:b/>
        </w:rPr>
      </w:pPr>
      <w:r w:rsidRPr="000359EE">
        <w:rPr>
          <w:rFonts w:ascii="Arial" w:hAnsi="Arial" w:cs="Arial"/>
          <w:b/>
        </w:rPr>
        <w:t>SECURITIES (</w:t>
      </w:r>
      <w:r w:rsidR="00D316FD">
        <w:rPr>
          <w:rFonts w:ascii="Arial" w:hAnsi="Arial" w:cs="Arial"/>
          <w:b/>
        </w:rPr>
        <w:t>RECORD KEEPING</w:t>
      </w:r>
      <w:r w:rsidRPr="000359EE">
        <w:rPr>
          <w:rFonts w:ascii="Arial" w:hAnsi="Arial" w:cs="Arial"/>
          <w:b/>
        </w:rPr>
        <w:t>)</w:t>
      </w:r>
      <w:r w:rsidR="0076386A" w:rsidRPr="000359EE">
        <w:rPr>
          <w:rFonts w:ascii="Arial" w:hAnsi="Arial" w:cs="Arial"/>
          <w:b/>
        </w:rPr>
        <w:t xml:space="preserve"> </w:t>
      </w:r>
      <w:r w:rsidR="00D316FD">
        <w:rPr>
          <w:rFonts w:ascii="Arial" w:hAnsi="Arial" w:cs="Arial"/>
          <w:b/>
        </w:rPr>
        <w:t>RULES</w:t>
      </w:r>
      <w:r w:rsidR="0076386A" w:rsidRPr="000359EE">
        <w:rPr>
          <w:rFonts w:ascii="Arial" w:hAnsi="Arial" w:cs="Arial"/>
          <w:b/>
        </w:rPr>
        <w:t xml:space="preserve"> </w:t>
      </w:r>
      <w:r w:rsidRPr="000359EE">
        <w:rPr>
          <w:rFonts w:ascii="Arial" w:hAnsi="Arial" w:cs="Arial"/>
          <w:b/>
        </w:rPr>
        <w:t>2023</w:t>
      </w:r>
    </w:p>
    <w:p w14:paraId="235A9B08" w14:textId="4AECAE99" w:rsidR="00FF1F65" w:rsidRPr="000359EE" w:rsidRDefault="00FF1F65" w:rsidP="000359EE">
      <w:pPr>
        <w:spacing w:after="161" w:line="250" w:lineRule="auto"/>
        <w:ind w:left="588" w:right="1150" w:hanging="10"/>
        <w:jc w:val="center"/>
        <w:rPr>
          <w:rFonts w:ascii="Arial" w:hAnsi="Arial" w:cs="Arial"/>
          <w:b/>
        </w:rPr>
      </w:pPr>
      <w:r>
        <w:rPr>
          <w:rFonts w:ascii="Arial" w:hAnsi="Arial" w:cs="Arial"/>
          <w:b/>
        </w:rPr>
        <w:t xml:space="preserve">ARRANGEMENT OF </w:t>
      </w:r>
      <w:r w:rsidR="00D316FD">
        <w:rPr>
          <w:rFonts w:ascii="Arial" w:hAnsi="Arial" w:cs="Arial"/>
          <w:b/>
        </w:rPr>
        <w:t>RULES</w:t>
      </w:r>
    </w:p>
    <w:sdt>
      <w:sdtPr>
        <w:rPr>
          <w:rFonts w:ascii="Times New Roman" w:eastAsia="Times New Roman" w:hAnsi="Times New Roman" w:cs="Times New Roman"/>
          <w:color w:val="000000"/>
          <w:sz w:val="22"/>
          <w:szCs w:val="22"/>
          <w:lang w:val="en-GB" w:eastAsia="en-GB"/>
        </w:rPr>
        <w:id w:val="2108077279"/>
        <w:docPartObj>
          <w:docPartGallery w:val="Table of Contents"/>
          <w:docPartUnique/>
        </w:docPartObj>
      </w:sdtPr>
      <w:sdtEndPr>
        <w:rPr>
          <w:b/>
          <w:bCs/>
          <w:noProof/>
        </w:rPr>
      </w:sdtEndPr>
      <w:sdtContent>
        <w:p w14:paraId="6447BA32" w14:textId="48BECAC5" w:rsidR="009F7E09" w:rsidRPr="00FF1F65" w:rsidRDefault="00CC27E1">
          <w:pPr>
            <w:pStyle w:val="TOCHeading"/>
            <w:rPr>
              <w:color w:val="auto"/>
            </w:rPr>
          </w:pPr>
          <w:r>
            <w:rPr>
              <w:color w:val="auto"/>
            </w:rPr>
            <w:t>Rule</w:t>
          </w:r>
        </w:p>
        <w:p w14:paraId="324A05C9" w14:textId="54A87530" w:rsidR="001544C6" w:rsidRDefault="009F7E09" w:rsidP="00724ED6">
          <w:pPr>
            <w:pStyle w:val="TOC2"/>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48188514" w:history="1">
            <w:r w:rsidR="001544C6" w:rsidRPr="006353F8">
              <w:rPr>
                <w:rStyle w:val="Hyperlink"/>
                <w:rFonts w:ascii="Arial" w:hAnsi="Arial" w:cs="Arial"/>
                <w:noProof/>
              </w:rPr>
              <w:t>PART 1</w:t>
            </w:r>
            <w:r w:rsidR="001544C6">
              <w:rPr>
                <w:noProof/>
                <w:webHidden/>
              </w:rPr>
              <w:tab/>
            </w:r>
            <w:r w:rsidR="001544C6">
              <w:rPr>
                <w:noProof/>
                <w:webHidden/>
              </w:rPr>
              <w:fldChar w:fldCharType="begin"/>
            </w:r>
            <w:r w:rsidR="001544C6">
              <w:rPr>
                <w:noProof/>
                <w:webHidden/>
              </w:rPr>
              <w:instrText xml:space="preserve"> PAGEREF _Toc148188514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5CCCB4BA" w14:textId="7EAD08F0"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15" w:history="1">
            <w:r w:rsidR="001544C6" w:rsidRPr="006353F8">
              <w:rPr>
                <w:rStyle w:val="Hyperlink"/>
                <w:rFonts w:ascii="Arial" w:hAnsi="Arial" w:cs="Arial"/>
                <w:noProof/>
              </w:rPr>
              <w:t>PRELIMINARY</w:t>
            </w:r>
            <w:r w:rsidR="001544C6">
              <w:rPr>
                <w:noProof/>
                <w:webHidden/>
              </w:rPr>
              <w:tab/>
            </w:r>
            <w:r w:rsidR="001544C6">
              <w:rPr>
                <w:noProof/>
                <w:webHidden/>
              </w:rPr>
              <w:fldChar w:fldCharType="begin"/>
            </w:r>
            <w:r w:rsidR="001544C6">
              <w:rPr>
                <w:noProof/>
                <w:webHidden/>
              </w:rPr>
              <w:instrText xml:space="preserve"> PAGEREF _Toc148188515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343E3311" w14:textId="466FBBE8" w:rsidR="001544C6" w:rsidRDefault="000B0FD9">
          <w:pPr>
            <w:pStyle w:val="TOC3"/>
            <w:rPr>
              <w:rFonts w:asciiTheme="minorHAnsi" w:eastAsiaTheme="minorEastAsia" w:hAnsiTheme="minorHAnsi" w:cstheme="minorBidi"/>
              <w:noProof/>
              <w:color w:val="auto"/>
              <w:kern w:val="2"/>
              <w14:ligatures w14:val="standardContextual"/>
            </w:rPr>
          </w:pPr>
          <w:hyperlink w:anchor="_Toc148188516" w:history="1">
            <w:r w:rsidR="001544C6" w:rsidRPr="006353F8">
              <w:rPr>
                <w:rStyle w:val="Hyperlink"/>
                <w:rFonts w:ascii="Arial" w:eastAsia="Arial" w:hAnsi="Arial" w:cs="Arial"/>
                <w:noProof/>
              </w:rPr>
              <w:t>1</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Citation</w:t>
            </w:r>
            <w:r w:rsidR="001544C6">
              <w:rPr>
                <w:noProof/>
                <w:webHidden/>
              </w:rPr>
              <w:tab/>
            </w:r>
            <w:r w:rsidR="001544C6">
              <w:rPr>
                <w:noProof/>
                <w:webHidden/>
              </w:rPr>
              <w:fldChar w:fldCharType="begin"/>
            </w:r>
            <w:r w:rsidR="001544C6">
              <w:rPr>
                <w:noProof/>
                <w:webHidden/>
              </w:rPr>
              <w:instrText xml:space="preserve"> PAGEREF _Toc148188516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5139D171" w14:textId="1BA9BF88" w:rsidR="001544C6" w:rsidRDefault="000B0FD9">
          <w:pPr>
            <w:pStyle w:val="TOC3"/>
            <w:rPr>
              <w:rFonts w:asciiTheme="minorHAnsi" w:eastAsiaTheme="minorEastAsia" w:hAnsiTheme="minorHAnsi" w:cstheme="minorBidi"/>
              <w:noProof/>
              <w:color w:val="auto"/>
              <w:kern w:val="2"/>
              <w14:ligatures w14:val="standardContextual"/>
            </w:rPr>
          </w:pPr>
          <w:hyperlink w:anchor="_Toc148188517" w:history="1">
            <w:r w:rsidR="001544C6" w:rsidRPr="006353F8">
              <w:rPr>
                <w:rStyle w:val="Hyperlink"/>
                <w:rFonts w:ascii="Arial" w:eastAsia="Arial" w:hAnsi="Arial" w:cs="Arial"/>
                <w:noProof/>
              </w:rPr>
              <w:t>2</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Interpretation</w:t>
            </w:r>
            <w:r w:rsidR="001544C6">
              <w:rPr>
                <w:noProof/>
                <w:webHidden/>
              </w:rPr>
              <w:tab/>
            </w:r>
            <w:r w:rsidR="001544C6">
              <w:rPr>
                <w:noProof/>
                <w:webHidden/>
              </w:rPr>
              <w:fldChar w:fldCharType="begin"/>
            </w:r>
            <w:r w:rsidR="001544C6">
              <w:rPr>
                <w:noProof/>
                <w:webHidden/>
              </w:rPr>
              <w:instrText xml:space="preserve"> PAGEREF _Toc148188517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3224B3B8" w14:textId="5D40F5D6"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18" w:history="1">
            <w:r w:rsidR="001544C6" w:rsidRPr="006353F8">
              <w:rPr>
                <w:rStyle w:val="Hyperlink"/>
                <w:rFonts w:ascii="Arial" w:hAnsi="Arial" w:cs="Arial"/>
                <w:noProof/>
              </w:rPr>
              <w:t>PART 2</w:t>
            </w:r>
            <w:r w:rsidR="001544C6">
              <w:rPr>
                <w:noProof/>
                <w:webHidden/>
              </w:rPr>
              <w:tab/>
            </w:r>
            <w:r w:rsidR="001544C6">
              <w:rPr>
                <w:noProof/>
                <w:webHidden/>
              </w:rPr>
              <w:fldChar w:fldCharType="begin"/>
            </w:r>
            <w:r w:rsidR="001544C6">
              <w:rPr>
                <w:noProof/>
                <w:webHidden/>
              </w:rPr>
              <w:instrText xml:space="preserve"> PAGEREF _Toc148188518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450F6140" w14:textId="42302E30"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19" w:history="1">
            <w:r w:rsidR="001544C6" w:rsidRPr="006353F8">
              <w:rPr>
                <w:rStyle w:val="Hyperlink"/>
                <w:rFonts w:ascii="Arial" w:hAnsi="Arial" w:cs="Arial"/>
                <w:noProof/>
              </w:rPr>
              <w:t>KEEPING OF RECORDS</w:t>
            </w:r>
            <w:r w:rsidR="001544C6">
              <w:rPr>
                <w:noProof/>
                <w:webHidden/>
              </w:rPr>
              <w:tab/>
            </w:r>
            <w:r w:rsidR="001544C6">
              <w:rPr>
                <w:noProof/>
                <w:webHidden/>
              </w:rPr>
              <w:fldChar w:fldCharType="begin"/>
            </w:r>
            <w:r w:rsidR="001544C6">
              <w:rPr>
                <w:noProof/>
                <w:webHidden/>
              </w:rPr>
              <w:instrText xml:space="preserve"> PAGEREF _Toc148188519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7A12B20F" w14:textId="573AA024" w:rsidR="001544C6" w:rsidRDefault="000B0FD9">
          <w:pPr>
            <w:pStyle w:val="TOC3"/>
            <w:rPr>
              <w:rFonts w:asciiTheme="minorHAnsi" w:eastAsiaTheme="minorEastAsia" w:hAnsiTheme="minorHAnsi" w:cstheme="minorBidi"/>
              <w:noProof/>
              <w:color w:val="auto"/>
              <w:kern w:val="2"/>
              <w14:ligatures w14:val="standardContextual"/>
            </w:rPr>
          </w:pPr>
          <w:hyperlink w:anchor="_Toc148188520" w:history="1">
            <w:r w:rsidR="001544C6" w:rsidRPr="006353F8">
              <w:rPr>
                <w:rStyle w:val="Hyperlink"/>
                <w:noProof/>
              </w:rPr>
              <w:t>Division 1—General rules</w:t>
            </w:r>
            <w:r w:rsidR="001544C6">
              <w:rPr>
                <w:noProof/>
                <w:webHidden/>
              </w:rPr>
              <w:tab/>
            </w:r>
            <w:r w:rsidR="001544C6">
              <w:rPr>
                <w:noProof/>
                <w:webHidden/>
              </w:rPr>
              <w:fldChar w:fldCharType="begin"/>
            </w:r>
            <w:r w:rsidR="001544C6">
              <w:rPr>
                <w:noProof/>
                <w:webHidden/>
              </w:rPr>
              <w:instrText xml:space="preserve"> PAGEREF _Toc148188520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3A45D32C" w14:textId="260B32ED" w:rsidR="001544C6" w:rsidRDefault="000B0FD9">
          <w:pPr>
            <w:pStyle w:val="TOC3"/>
            <w:rPr>
              <w:rFonts w:asciiTheme="minorHAnsi" w:eastAsiaTheme="minorEastAsia" w:hAnsiTheme="minorHAnsi" w:cstheme="minorBidi"/>
              <w:noProof/>
              <w:color w:val="auto"/>
              <w:kern w:val="2"/>
              <w14:ligatures w14:val="standardContextual"/>
            </w:rPr>
          </w:pPr>
          <w:hyperlink w:anchor="_Toc148188521" w:history="1">
            <w:r w:rsidR="001544C6" w:rsidRPr="006353F8">
              <w:rPr>
                <w:rStyle w:val="Hyperlink"/>
                <w:rFonts w:ascii="Arial" w:eastAsia="Arial" w:hAnsi="Arial" w:cs="Arial"/>
                <w:noProof/>
              </w:rPr>
              <w:t>3</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General record keeping requirements for intermediaries</w:t>
            </w:r>
            <w:r w:rsidR="001544C6">
              <w:rPr>
                <w:noProof/>
                <w:webHidden/>
              </w:rPr>
              <w:tab/>
            </w:r>
            <w:r w:rsidR="001544C6">
              <w:rPr>
                <w:noProof/>
                <w:webHidden/>
              </w:rPr>
              <w:fldChar w:fldCharType="begin"/>
            </w:r>
            <w:r w:rsidR="001544C6">
              <w:rPr>
                <w:noProof/>
                <w:webHidden/>
              </w:rPr>
              <w:instrText xml:space="preserve"> PAGEREF _Toc148188521 \h </w:instrText>
            </w:r>
            <w:r w:rsidR="001544C6">
              <w:rPr>
                <w:noProof/>
                <w:webHidden/>
              </w:rPr>
            </w:r>
            <w:r w:rsidR="001544C6">
              <w:rPr>
                <w:noProof/>
                <w:webHidden/>
              </w:rPr>
              <w:fldChar w:fldCharType="separate"/>
            </w:r>
            <w:r w:rsidR="001544C6">
              <w:rPr>
                <w:noProof/>
                <w:webHidden/>
              </w:rPr>
              <w:t>2</w:t>
            </w:r>
            <w:r w:rsidR="001544C6">
              <w:rPr>
                <w:noProof/>
                <w:webHidden/>
              </w:rPr>
              <w:fldChar w:fldCharType="end"/>
            </w:r>
          </w:hyperlink>
        </w:p>
        <w:p w14:paraId="23C32437" w14:textId="6002EDE8" w:rsidR="001544C6" w:rsidRDefault="000B0FD9">
          <w:pPr>
            <w:pStyle w:val="TOC3"/>
            <w:rPr>
              <w:rFonts w:asciiTheme="minorHAnsi" w:eastAsiaTheme="minorEastAsia" w:hAnsiTheme="minorHAnsi" w:cstheme="minorBidi"/>
              <w:noProof/>
              <w:color w:val="auto"/>
              <w:kern w:val="2"/>
              <w14:ligatures w14:val="standardContextual"/>
            </w:rPr>
          </w:pPr>
          <w:hyperlink w:anchor="_Toc148188522" w:history="1">
            <w:r w:rsidR="001544C6" w:rsidRPr="006353F8">
              <w:rPr>
                <w:rStyle w:val="Hyperlink"/>
                <w:rFonts w:ascii="Arial" w:eastAsia="Arial" w:hAnsi="Arial" w:cs="Arial"/>
                <w:noProof/>
              </w:rPr>
              <w:t>4</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Record keeping requirements for associated entities</w:t>
            </w:r>
            <w:r w:rsidR="001544C6">
              <w:rPr>
                <w:noProof/>
                <w:webHidden/>
              </w:rPr>
              <w:tab/>
            </w:r>
            <w:r w:rsidR="001544C6">
              <w:rPr>
                <w:noProof/>
                <w:webHidden/>
              </w:rPr>
              <w:fldChar w:fldCharType="begin"/>
            </w:r>
            <w:r w:rsidR="001544C6">
              <w:rPr>
                <w:noProof/>
                <w:webHidden/>
              </w:rPr>
              <w:instrText xml:space="preserve"> PAGEREF _Toc148188522 \h </w:instrText>
            </w:r>
            <w:r w:rsidR="001544C6">
              <w:rPr>
                <w:noProof/>
                <w:webHidden/>
              </w:rPr>
            </w:r>
            <w:r w:rsidR="001544C6">
              <w:rPr>
                <w:noProof/>
                <w:webHidden/>
              </w:rPr>
              <w:fldChar w:fldCharType="separate"/>
            </w:r>
            <w:r w:rsidR="001544C6">
              <w:rPr>
                <w:noProof/>
                <w:webHidden/>
              </w:rPr>
              <w:t>3</w:t>
            </w:r>
            <w:r w:rsidR="001544C6">
              <w:rPr>
                <w:noProof/>
                <w:webHidden/>
              </w:rPr>
              <w:fldChar w:fldCharType="end"/>
            </w:r>
          </w:hyperlink>
        </w:p>
        <w:p w14:paraId="105114AB" w14:textId="65858661" w:rsidR="001544C6" w:rsidRDefault="000B0FD9">
          <w:pPr>
            <w:pStyle w:val="TOC3"/>
            <w:rPr>
              <w:rFonts w:asciiTheme="minorHAnsi" w:eastAsiaTheme="minorEastAsia" w:hAnsiTheme="minorHAnsi" w:cstheme="minorBidi"/>
              <w:noProof/>
              <w:color w:val="auto"/>
              <w:kern w:val="2"/>
              <w14:ligatures w14:val="standardContextual"/>
            </w:rPr>
          </w:pPr>
          <w:hyperlink w:anchor="_Toc148188523" w:history="1">
            <w:r w:rsidR="001544C6" w:rsidRPr="006353F8">
              <w:rPr>
                <w:rStyle w:val="Hyperlink"/>
                <w:rFonts w:ascii="Arial" w:eastAsia="Arial" w:hAnsi="Arial" w:cs="Arial"/>
                <w:noProof/>
              </w:rPr>
              <w:t>5</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Particular record keeping requirements for dealing in securities</w:t>
            </w:r>
            <w:r w:rsidR="001544C6">
              <w:rPr>
                <w:noProof/>
                <w:webHidden/>
              </w:rPr>
              <w:tab/>
            </w:r>
            <w:r w:rsidR="001544C6">
              <w:rPr>
                <w:noProof/>
                <w:webHidden/>
              </w:rPr>
              <w:fldChar w:fldCharType="begin"/>
            </w:r>
            <w:r w:rsidR="001544C6">
              <w:rPr>
                <w:noProof/>
                <w:webHidden/>
              </w:rPr>
              <w:instrText xml:space="preserve"> PAGEREF _Toc148188523 \h </w:instrText>
            </w:r>
            <w:r w:rsidR="001544C6">
              <w:rPr>
                <w:noProof/>
                <w:webHidden/>
              </w:rPr>
            </w:r>
            <w:r w:rsidR="001544C6">
              <w:rPr>
                <w:noProof/>
                <w:webHidden/>
              </w:rPr>
              <w:fldChar w:fldCharType="separate"/>
            </w:r>
            <w:r w:rsidR="001544C6">
              <w:rPr>
                <w:noProof/>
                <w:webHidden/>
              </w:rPr>
              <w:t>4</w:t>
            </w:r>
            <w:r w:rsidR="001544C6">
              <w:rPr>
                <w:noProof/>
                <w:webHidden/>
              </w:rPr>
              <w:fldChar w:fldCharType="end"/>
            </w:r>
          </w:hyperlink>
        </w:p>
        <w:p w14:paraId="1192B0ED" w14:textId="624F6115" w:rsidR="001544C6" w:rsidRDefault="000B0FD9">
          <w:pPr>
            <w:pStyle w:val="TOC3"/>
            <w:rPr>
              <w:rFonts w:asciiTheme="minorHAnsi" w:eastAsiaTheme="minorEastAsia" w:hAnsiTheme="minorHAnsi" w:cstheme="minorBidi"/>
              <w:noProof/>
              <w:color w:val="auto"/>
              <w:kern w:val="2"/>
              <w14:ligatures w14:val="standardContextual"/>
            </w:rPr>
          </w:pPr>
          <w:hyperlink w:anchor="_Toc148188524" w:history="1">
            <w:r w:rsidR="001544C6" w:rsidRPr="006353F8">
              <w:rPr>
                <w:rStyle w:val="Hyperlink"/>
                <w:rFonts w:ascii="Arial" w:eastAsia="Arial" w:hAnsi="Arial" w:cs="Arial"/>
                <w:noProof/>
              </w:rPr>
              <w:t>6</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Particular record keeping requirements for leveraged foreign exchange trading</w:t>
            </w:r>
            <w:r w:rsidR="001544C6">
              <w:rPr>
                <w:noProof/>
                <w:webHidden/>
              </w:rPr>
              <w:tab/>
            </w:r>
            <w:r w:rsidR="001544C6">
              <w:rPr>
                <w:noProof/>
                <w:webHidden/>
              </w:rPr>
              <w:fldChar w:fldCharType="begin"/>
            </w:r>
            <w:r w:rsidR="001544C6">
              <w:rPr>
                <w:noProof/>
                <w:webHidden/>
              </w:rPr>
              <w:instrText xml:space="preserve"> PAGEREF _Toc148188524 \h </w:instrText>
            </w:r>
            <w:r w:rsidR="001544C6">
              <w:rPr>
                <w:noProof/>
                <w:webHidden/>
              </w:rPr>
            </w:r>
            <w:r w:rsidR="001544C6">
              <w:rPr>
                <w:noProof/>
                <w:webHidden/>
              </w:rPr>
              <w:fldChar w:fldCharType="separate"/>
            </w:r>
            <w:r w:rsidR="001544C6">
              <w:rPr>
                <w:noProof/>
                <w:webHidden/>
              </w:rPr>
              <w:t>4</w:t>
            </w:r>
            <w:r w:rsidR="001544C6">
              <w:rPr>
                <w:noProof/>
                <w:webHidden/>
              </w:rPr>
              <w:fldChar w:fldCharType="end"/>
            </w:r>
          </w:hyperlink>
        </w:p>
        <w:p w14:paraId="439A2E8B" w14:textId="5C75FF90" w:rsidR="001544C6" w:rsidRDefault="000B0FD9">
          <w:pPr>
            <w:pStyle w:val="TOC3"/>
            <w:rPr>
              <w:rFonts w:asciiTheme="minorHAnsi" w:eastAsiaTheme="minorEastAsia" w:hAnsiTheme="minorHAnsi" w:cstheme="minorBidi"/>
              <w:noProof/>
              <w:color w:val="auto"/>
              <w:kern w:val="2"/>
              <w14:ligatures w14:val="standardContextual"/>
            </w:rPr>
          </w:pPr>
          <w:hyperlink w:anchor="_Toc148188525" w:history="1">
            <w:r w:rsidR="001544C6" w:rsidRPr="006353F8">
              <w:rPr>
                <w:rStyle w:val="Hyperlink"/>
                <w:rFonts w:ascii="Arial" w:eastAsia="Arial" w:hAnsi="Arial" w:cs="Arial"/>
                <w:noProof/>
              </w:rPr>
              <w:t>7</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Particular record keeping requirements for providing securities margin financing or other financial accommodation and entering into margined contracts</w:t>
            </w:r>
            <w:r w:rsidR="001544C6">
              <w:rPr>
                <w:noProof/>
                <w:webHidden/>
              </w:rPr>
              <w:tab/>
            </w:r>
            <w:r w:rsidR="001544C6">
              <w:rPr>
                <w:noProof/>
                <w:webHidden/>
              </w:rPr>
              <w:fldChar w:fldCharType="begin"/>
            </w:r>
            <w:r w:rsidR="001544C6">
              <w:rPr>
                <w:noProof/>
                <w:webHidden/>
              </w:rPr>
              <w:instrText xml:space="preserve"> PAGEREF _Toc148188525 \h </w:instrText>
            </w:r>
            <w:r w:rsidR="001544C6">
              <w:rPr>
                <w:noProof/>
                <w:webHidden/>
              </w:rPr>
            </w:r>
            <w:r w:rsidR="001544C6">
              <w:rPr>
                <w:noProof/>
                <w:webHidden/>
              </w:rPr>
              <w:fldChar w:fldCharType="separate"/>
            </w:r>
            <w:r w:rsidR="001544C6">
              <w:rPr>
                <w:noProof/>
                <w:webHidden/>
              </w:rPr>
              <w:t>5</w:t>
            </w:r>
            <w:r w:rsidR="001544C6">
              <w:rPr>
                <w:noProof/>
                <w:webHidden/>
              </w:rPr>
              <w:fldChar w:fldCharType="end"/>
            </w:r>
          </w:hyperlink>
        </w:p>
        <w:p w14:paraId="0CF8580D" w14:textId="3D69487F" w:rsidR="001544C6" w:rsidRDefault="000B0FD9">
          <w:pPr>
            <w:pStyle w:val="TOC3"/>
            <w:rPr>
              <w:rFonts w:asciiTheme="minorHAnsi" w:eastAsiaTheme="minorEastAsia" w:hAnsiTheme="minorHAnsi" w:cstheme="minorBidi"/>
              <w:noProof/>
              <w:color w:val="auto"/>
              <w:kern w:val="2"/>
              <w14:ligatures w14:val="standardContextual"/>
            </w:rPr>
          </w:pPr>
          <w:hyperlink w:anchor="_Toc148188526" w:history="1">
            <w:r w:rsidR="001544C6" w:rsidRPr="006353F8">
              <w:rPr>
                <w:rStyle w:val="Hyperlink"/>
                <w:rFonts w:ascii="Arial" w:eastAsia="Arial" w:hAnsi="Arial" w:cs="Arial"/>
                <w:noProof/>
              </w:rPr>
              <w:t>8</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Particular record keeping requirements for asset management</w:t>
            </w:r>
            <w:r w:rsidR="001544C6">
              <w:rPr>
                <w:noProof/>
                <w:webHidden/>
              </w:rPr>
              <w:tab/>
            </w:r>
            <w:r w:rsidR="001544C6">
              <w:rPr>
                <w:noProof/>
                <w:webHidden/>
              </w:rPr>
              <w:fldChar w:fldCharType="begin"/>
            </w:r>
            <w:r w:rsidR="001544C6">
              <w:rPr>
                <w:noProof/>
                <w:webHidden/>
              </w:rPr>
              <w:instrText xml:space="preserve"> PAGEREF _Toc148188526 \h </w:instrText>
            </w:r>
            <w:r w:rsidR="001544C6">
              <w:rPr>
                <w:noProof/>
                <w:webHidden/>
              </w:rPr>
            </w:r>
            <w:r w:rsidR="001544C6">
              <w:rPr>
                <w:noProof/>
                <w:webHidden/>
              </w:rPr>
              <w:fldChar w:fldCharType="separate"/>
            </w:r>
            <w:r w:rsidR="001544C6">
              <w:rPr>
                <w:noProof/>
                <w:webHidden/>
              </w:rPr>
              <w:t>5</w:t>
            </w:r>
            <w:r w:rsidR="001544C6">
              <w:rPr>
                <w:noProof/>
                <w:webHidden/>
              </w:rPr>
              <w:fldChar w:fldCharType="end"/>
            </w:r>
          </w:hyperlink>
        </w:p>
        <w:p w14:paraId="2E569E20" w14:textId="05E93420"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27" w:history="1">
            <w:r w:rsidR="001544C6" w:rsidRPr="006353F8">
              <w:rPr>
                <w:rStyle w:val="Hyperlink"/>
                <w:rFonts w:ascii="Arial" w:hAnsi="Arial" w:cs="Arial"/>
                <w:noProof/>
              </w:rPr>
              <w:t>PART 3</w:t>
            </w:r>
            <w:r w:rsidR="001544C6">
              <w:rPr>
                <w:noProof/>
                <w:webHidden/>
              </w:rPr>
              <w:tab/>
            </w:r>
            <w:r w:rsidR="001544C6">
              <w:rPr>
                <w:noProof/>
                <w:webHidden/>
              </w:rPr>
              <w:fldChar w:fldCharType="begin"/>
            </w:r>
            <w:r w:rsidR="001544C6">
              <w:rPr>
                <w:noProof/>
                <w:webHidden/>
              </w:rPr>
              <w:instrText xml:space="preserve"> PAGEREF _Toc148188527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4BFCFC54" w14:textId="1170E904"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28" w:history="1">
            <w:r w:rsidR="001544C6" w:rsidRPr="006353F8">
              <w:rPr>
                <w:rStyle w:val="Hyperlink"/>
                <w:rFonts w:ascii="Arial" w:hAnsi="Arial" w:cs="Arial"/>
                <w:noProof/>
              </w:rPr>
              <w:t>MISCELLANEOUS</w:t>
            </w:r>
            <w:r w:rsidR="001544C6">
              <w:rPr>
                <w:noProof/>
                <w:webHidden/>
              </w:rPr>
              <w:tab/>
            </w:r>
            <w:r w:rsidR="001544C6">
              <w:rPr>
                <w:noProof/>
                <w:webHidden/>
              </w:rPr>
              <w:fldChar w:fldCharType="begin"/>
            </w:r>
            <w:r w:rsidR="001544C6">
              <w:rPr>
                <w:noProof/>
                <w:webHidden/>
              </w:rPr>
              <w:instrText xml:space="preserve"> PAGEREF _Toc148188528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43690007" w14:textId="04B5174C" w:rsidR="001544C6" w:rsidRDefault="000B0FD9">
          <w:pPr>
            <w:pStyle w:val="TOC3"/>
            <w:rPr>
              <w:rFonts w:asciiTheme="minorHAnsi" w:eastAsiaTheme="minorEastAsia" w:hAnsiTheme="minorHAnsi" w:cstheme="minorBidi"/>
              <w:noProof/>
              <w:color w:val="auto"/>
              <w:kern w:val="2"/>
              <w14:ligatures w14:val="standardContextual"/>
            </w:rPr>
          </w:pPr>
          <w:hyperlink w:anchor="_Toc148188529" w:history="1">
            <w:r w:rsidR="001544C6" w:rsidRPr="006353F8">
              <w:rPr>
                <w:rStyle w:val="Hyperlink"/>
                <w:rFonts w:ascii="Arial" w:eastAsia="Arial" w:hAnsi="Arial" w:cs="Arial"/>
                <w:noProof/>
              </w:rPr>
              <w:t>9</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Form in which records are to be kept</w:t>
            </w:r>
            <w:r w:rsidR="001544C6">
              <w:rPr>
                <w:noProof/>
                <w:webHidden/>
              </w:rPr>
              <w:tab/>
            </w:r>
            <w:r w:rsidR="001544C6">
              <w:rPr>
                <w:noProof/>
                <w:webHidden/>
              </w:rPr>
              <w:fldChar w:fldCharType="begin"/>
            </w:r>
            <w:r w:rsidR="001544C6">
              <w:rPr>
                <w:noProof/>
                <w:webHidden/>
              </w:rPr>
              <w:instrText xml:space="preserve"> PAGEREF _Toc148188529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2E32DA65" w14:textId="2C67DBD6" w:rsidR="001544C6" w:rsidRDefault="000B0FD9">
          <w:pPr>
            <w:pStyle w:val="TOC3"/>
            <w:rPr>
              <w:rFonts w:asciiTheme="minorHAnsi" w:eastAsiaTheme="minorEastAsia" w:hAnsiTheme="minorHAnsi" w:cstheme="minorBidi"/>
              <w:noProof/>
              <w:color w:val="auto"/>
              <w:kern w:val="2"/>
              <w14:ligatures w14:val="standardContextual"/>
            </w:rPr>
          </w:pPr>
          <w:hyperlink w:anchor="_Toc148188530" w:history="1">
            <w:r w:rsidR="001544C6" w:rsidRPr="006353F8">
              <w:rPr>
                <w:rStyle w:val="Hyperlink"/>
                <w:rFonts w:ascii="Arial" w:eastAsia="Arial" w:hAnsi="Arial" w:cs="Arial"/>
                <w:noProof/>
              </w:rPr>
              <w:t>10</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Record retention period</w:t>
            </w:r>
            <w:r w:rsidR="001544C6">
              <w:rPr>
                <w:noProof/>
                <w:webHidden/>
              </w:rPr>
              <w:tab/>
            </w:r>
            <w:r w:rsidR="001544C6">
              <w:rPr>
                <w:noProof/>
                <w:webHidden/>
              </w:rPr>
              <w:fldChar w:fldCharType="begin"/>
            </w:r>
            <w:r w:rsidR="001544C6">
              <w:rPr>
                <w:noProof/>
                <w:webHidden/>
              </w:rPr>
              <w:instrText xml:space="preserve"> PAGEREF _Toc148188530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6FF123F7" w14:textId="412B243D" w:rsidR="001544C6" w:rsidRDefault="000B0FD9">
          <w:pPr>
            <w:pStyle w:val="TOC3"/>
            <w:rPr>
              <w:rFonts w:asciiTheme="minorHAnsi" w:eastAsiaTheme="minorEastAsia" w:hAnsiTheme="minorHAnsi" w:cstheme="minorBidi"/>
              <w:noProof/>
              <w:color w:val="auto"/>
              <w:kern w:val="2"/>
              <w14:ligatures w14:val="standardContextual"/>
            </w:rPr>
          </w:pPr>
          <w:hyperlink w:anchor="_Toc148188531" w:history="1">
            <w:r w:rsidR="001544C6" w:rsidRPr="006353F8">
              <w:rPr>
                <w:rStyle w:val="Hyperlink"/>
                <w:rFonts w:ascii="Arial" w:eastAsia="Arial" w:hAnsi="Arial" w:cs="Arial"/>
                <w:noProof/>
              </w:rPr>
              <w:t>11</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Reporting of non-compliance with certain provisions of these Rules</w:t>
            </w:r>
            <w:r w:rsidR="001544C6">
              <w:rPr>
                <w:noProof/>
                <w:webHidden/>
              </w:rPr>
              <w:tab/>
            </w:r>
            <w:r w:rsidR="001544C6">
              <w:rPr>
                <w:noProof/>
                <w:webHidden/>
              </w:rPr>
              <w:fldChar w:fldCharType="begin"/>
            </w:r>
            <w:r w:rsidR="001544C6">
              <w:rPr>
                <w:noProof/>
                <w:webHidden/>
              </w:rPr>
              <w:instrText xml:space="preserve"> PAGEREF _Toc148188531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10FD9B51" w14:textId="188766C7" w:rsidR="001544C6" w:rsidRDefault="000B0FD9">
          <w:pPr>
            <w:pStyle w:val="TOC3"/>
            <w:rPr>
              <w:rFonts w:asciiTheme="minorHAnsi" w:eastAsiaTheme="minorEastAsia" w:hAnsiTheme="minorHAnsi" w:cstheme="minorBidi"/>
              <w:noProof/>
              <w:color w:val="auto"/>
              <w:kern w:val="2"/>
              <w14:ligatures w14:val="standardContextual"/>
            </w:rPr>
          </w:pPr>
          <w:hyperlink w:anchor="_Toc148188532" w:history="1">
            <w:r w:rsidR="001544C6" w:rsidRPr="006353F8">
              <w:rPr>
                <w:rStyle w:val="Hyperlink"/>
                <w:rFonts w:ascii="Arial" w:eastAsia="Arial" w:hAnsi="Arial" w:cs="Arial"/>
                <w:noProof/>
              </w:rPr>
              <w:t>12</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Penalties</w:t>
            </w:r>
            <w:r w:rsidR="001544C6">
              <w:rPr>
                <w:noProof/>
                <w:webHidden/>
              </w:rPr>
              <w:tab/>
            </w:r>
            <w:r w:rsidR="001544C6">
              <w:rPr>
                <w:noProof/>
                <w:webHidden/>
              </w:rPr>
              <w:fldChar w:fldCharType="begin"/>
            </w:r>
            <w:r w:rsidR="001544C6">
              <w:rPr>
                <w:noProof/>
                <w:webHidden/>
              </w:rPr>
              <w:instrText xml:space="preserve"> PAGEREF _Toc148188532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6C3C2B25" w14:textId="61030E08" w:rsidR="001544C6" w:rsidRDefault="000B0FD9">
          <w:pPr>
            <w:pStyle w:val="TOC3"/>
            <w:rPr>
              <w:rFonts w:asciiTheme="minorHAnsi" w:eastAsiaTheme="minorEastAsia" w:hAnsiTheme="minorHAnsi" w:cstheme="minorBidi"/>
              <w:noProof/>
              <w:color w:val="auto"/>
              <w:kern w:val="2"/>
              <w14:ligatures w14:val="standardContextual"/>
            </w:rPr>
          </w:pPr>
          <w:hyperlink w:anchor="_Toc148188533" w:history="1">
            <w:r w:rsidR="001544C6" w:rsidRPr="006353F8">
              <w:rPr>
                <w:rStyle w:val="Hyperlink"/>
                <w:noProof/>
              </w:rPr>
              <w:t>13</w:t>
            </w:r>
            <w:r w:rsidR="001544C6">
              <w:rPr>
                <w:rFonts w:asciiTheme="minorHAnsi" w:eastAsiaTheme="minorEastAsia" w:hAnsiTheme="minorHAnsi" w:cstheme="minorBidi"/>
                <w:noProof/>
                <w:color w:val="auto"/>
                <w:kern w:val="2"/>
                <w14:ligatures w14:val="standardContextual"/>
              </w:rPr>
              <w:tab/>
            </w:r>
            <w:r w:rsidR="001544C6" w:rsidRPr="006353F8">
              <w:rPr>
                <w:rStyle w:val="Hyperlink"/>
                <w:rFonts w:ascii="Arial" w:eastAsia="Arial" w:hAnsi="Arial" w:cs="Arial"/>
                <w:noProof/>
              </w:rPr>
              <w:t>Commencement</w:t>
            </w:r>
            <w:r w:rsidR="001544C6">
              <w:rPr>
                <w:noProof/>
                <w:webHidden/>
              </w:rPr>
              <w:tab/>
            </w:r>
            <w:r w:rsidR="001544C6">
              <w:rPr>
                <w:noProof/>
                <w:webHidden/>
              </w:rPr>
              <w:fldChar w:fldCharType="begin"/>
            </w:r>
            <w:r w:rsidR="001544C6">
              <w:rPr>
                <w:noProof/>
                <w:webHidden/>
              </w:rPr>
              <w:instrText xml:space="preserve"> PAGEREF _Toc148188533 \h </w:instrText>
            </w:r>
            <w:r w:rsidR="001544C6">
              <w:rPr>
                <w:noProof/>
                <w:webHidden/>
              </w:rPr>
            </w:r>
            <w:r w:rsidR="001544C6">
              <w:rPr>
                <w:noProof/>
                <w:webHidden/>
              </w:rPr>
              <w:fldChar w:fldCharType="separate"/>
            </w:r>
            <w:r w:rsidR="001544C6">
              <w:rPr>
                <w:noProof/>
                <w:webHidden/>
              </w:rPr>
              <w:t>6</w:t>
            </w:r>
            <w:r w:rsidR="001544C6">
              <w:rPr>
                <w:noProof/>
                <w:webHidden/>
              </w:rPr>
              <w:fldChar w:fldCharType="end"/>
            </w:r>
          </w:hyperlink>
        </w:p>
        <w:p w14:paraId="5B501789" w14:textId="7C94B737"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34" w:history="1">
            <w:r w:rsidR="001544C6" w:rsidRPr="006353F8">
              <w:rPr>
                <w:rStyle w:val="Hyperlink"/>
                <w:rFonts w:ascii="Arial" w:hAnsi="Arial" w:cs="Arial"/>
                <w:noProof/>
              </w:rPr>
              <w:t>Schedule</w:t>
            </w:r>
            <w:r w:rsidR="001544C6">
              <w:rPr>
                <w:noProof/>
                <w:webHidden/>
              </w:rPr>
              <w:tab/>
            </w:r>
            <w:r w:rsidR="001544C6">
              <w:rPr>
                <w:noProof/>
                <w:webHidden/>
              </w:rPr>
              <w:fldChar w:fldCharType="begin"/>
            </w:r>
            <w:r w:rsidR="001544C6">
              <w:rPr>
                <w:noProof/>
                <w:webHidden/>
              </w:rPr>
              <w:instrText xml:space="preserve"> PAGEREF _Toc148188534 \h </w:instrText>
            </w:r>
            <w:r w:rsidR="001544C6">
              <w:rPr>
                <w:noProof/>
                <w:webHidden/>
              </w:rPr>
            </w:r>
            <w:r w:rsidR="001544C6">
              <w:rPr>
                <w:noProof/>
                <w:webHidden/>
              </w:rPr>
              <w:fldChar w:fldCharType="separate"/>
            </w:r>
            <w:r w:rsidR="001544C6">
              <w:rPr>
                <w:noProof/>
                <w:webHidden/>
              </w:rPr>
              <w:t>7</w:t>
            </w:r>
            <w:r w:rsidR="001544C6">
              <w:rPr>
                <w:noProof/>
                <w:webHidden/>
              </w:rPr>
              <w:fldChar w:fldCharType="end"/>
            </w:r>
          </w:hyperlink>
        </w:p>
        <w:p w14:paraId="2AA3CE98" w14:textId="1AF01DAF" w:rsidR="001544C6" w:rsidRDefault="000B0FD9" w:rsidP="00724ED6">
          <w:pPr>
            <w:pStyle w:val="TOC2"/>
            <w:rPr>
              <w:rFonts w:asciiTheme="minorHAnsi" w:eastAsiaTheme="minorEastAsia" w:hAnsiTheme="minorHAnsi" w:cstheme="minorBidi"/>
              <w:noProof/>
              <w:color w:val="auto"/>
              <w:kern w:val="2"/>
              <w14:ligatures w14:val="standardContextual"/>
            </w:rPr>
          </w:pPr>
          <w:hyperlink w:anchor="_Toc148188535" w:history="1">
            <w:r w:rsidR="001544C6" w:rsidRPr="006353F8">
              <w:rPr>
                <w:rStyle w:val="Hyperlink"/>
                <w:rFonts w:ascii="Arial" w:hAnsi="Arial" w:cs="Arial"/>
                <w:noProof/>
              </w:rPr>
              <w:t>Records Kept by Intermediaries under Rule 3(2)(a)</w:t>
            </w:r>
            <w:r w:rsidR="001544C6">
              <w:rPr>
                <w:noProof/>
                <w:webHidden/>
              </w:rPr>
              <w:tab/>
            </w:r>
            <w:r w:rsidR="001544C6">
              <w:rPr>
                <w:noProof/>
                <w:webHidden/>
              </w:rPr>
              <w:fldChar w:fldCharType="begin"/>
            </w:r>
            <w:r w:rsidR="001544C6">
              <w:rPr>
                <w:noProof/>
                <w:webHidden/>
              </w:rPr>
              <w:instrText xml:space="preserve"> PAGEREF _Toc148188535 \h </w:instrText>
            </w:r>
            <w:r w:rsidR="001544C6">
              <w:rPr>
                <w:noProof/>
                <w:webHidden/>
              </w:rPr>
            </w:r>
            <w:r w:rsidR="001544C6">
              <w:rPr>
                <w:noProof/>
                <w:webHidden/>
              </w:rPr>
              <w:fldChar w:fldCharType="separate"/>
            </w:r>
            <w:r w:rsidR="001544C6">
              <w:rPr>
                <w:noProof/>
                <w:webHidden/>
              </w:rPr>
              <w:t>7</w:t>
            </w:r>
            <w:r w:rsidR="001544C6">
              <w:rPr>
                <w:noProof/>
                <w:webHidden/>
              </w:rPr>
              <w:fldChar w:fldCharType="end"/>
            </w:r>
          </w:hyperlink>
        </w:p>
        <w:p w14:paraId="2EBF0A4C" w14:textId="69395F4E" w:rsidR="009F7E09" w:rsidRDefault="009F7E09">
          <w:r>
            <w:rPr>
              <w:b/>
              <w:bCs/>
              <w:noProof/>
            </w:rPr>
            <w:fldChar w:fldCharType="end"/>
          </w:r>
        </w:p>
      </w:sdtContent>
    </w:sdt>
    <w:p w14:paraId="0C7AA34D" w14:textId="24377C3F" w:rsidR="00405783" w:rsidRPr="00C57761" w:rsidRDefault="00405783"/>
    <w:p w14:paraId="240BF323" w14:textId="5C2EFDA1" w:rsidR="00405783" w:rsidRDefault="00405783">
      <w:pPr>
        <w:spacing w:after="160" w:line="259" w:lineRule="auto"/>
        <w:ind w:left="0" w:right="0" w:firstLine="0"/>
        <w:jc w:val="left"/>
        <w:rPr>
          <w:b/>
        </w:rPr>
      </w:pPr>
      <w:r>
        <w:rPr>
          <w:b/>
        </w:rPr>
        <w:br w:type="page"/>
      </w:r>
    </w:p>
    <w:p w14:paraId="54692756" w14:textId="4E7D031B" w:rsidR="00D92462" w:rsidRDefault="00B32F86">
      <w:pPr>
        <w:spacing w:after="404" w:line="250" w:lineRule="auto"/>
        <w:ind w:left="588" w:right="1150" w:hanging="10"/>
        <w:jc w:val="center"/>
        <w:rPr>
          <w:rFonts w:ascii="Arial" w:hAnsi="Arial" w:cs="Arial"/>
          <w:b/>
        </w:rPr>
      </w:pPr>
      <w:r w:rsidRPr="00B66184">
        <w:rPr>
          <w:rFonts w:ascii="Arial" w:hAnsi="Arial" w:cs="Arial"/>
          <w:b/>
        </w:rPr>
        <w:lastRenderedPageBreak/>
        <w:t>SECURITIES (</w:t>
      </w:r>
      <w:r w:rsidR="007B6A61">
        <w:rPr>
          <w:rFonts w:ascii="Arial" w:hAnsi="Arial" w:cs="Arial"/>
          <w:b/>
        </w:rPr>
        <w:t xml:space="preserve">RECORD KEEPING) </w:t>
      </w:r>
      <w:r w:rsidR="009B3FA1">
        <w:rPr>
          <w:rFonts w:ascii="Arial" w:hAnsi="Arial" w:cs="Arial"/>
          <w:b/>
        </w:rPr>
        <w:t>R</w:t>
      </w:r>
      <w:r w:rsidR="007B6A61">
        <w:rPr>
          <w:rFonts w:ascii="Arial" w:hAnsi="Arial" w:cs="Arial"/>
          <w:b/>
        </w:rPr>
        <w:t>ULES</w:t>
      </w:r>
      <w:r w:rsidR="0076386A" w:rsidRPr="00B66184">
        <w:rPr>
          <w:rFonts w:ascii="Arial" w:hAnsi="Arial" w:cs="Arial"/>
          <w:b/>
        </w:rPr>
        <w:t xml:space="preserve"> </w:t>
      </w:r>
      <w:r w:rsidRPr="00B66184">
        <w:rPr>
          <w:rFonts w:ascii="Arial" w:hAnsi="Arial" w:cs="Arial"/>
          <w:b/>
        </w:rPr>
        <w:t>2023</w:t>
      </w:r>
      <w:r w:rsidR="0076386A" w:rsidRPr="00B66184">
        <w:rPr>
          <w:rFonts w:ascii="Arial" w:hAnsi="Arial" w:cs="Arial"/>
          <w:b/>
        </w:rPr>
        <w:t xml:space="preserve"> </w:t>
      </w:r>
    </w:p>
    <w:p w14:paraId="0B383B59" w14:textId="56B57903" w:rsidR="00342E61" w:rsidRDefault="00342E61">
      <w:pPr>
        <w:spacing w:after="404" w:line="250" w:lineRule="auto"/>
        <w:ind w:left="588" w:right="1150" w:hanging="10"/>
        <w:jc w:val="center"/>
        <w:rPr>
          <w:rFonts w:ascii="Arial" w:hAnsi="Arial" w:cs="Arial"/>
          <w:b/>
        </w:rPr>
      </w:pPr>
      <w:r>
        <w:rPr>
          <w:rFonts w:ascii="Arial" w:hAnsi="Arial" w:cs="Arial"/>
          <w:b/>
        </w:rPr>
        <w:t>FSC Rules made by the Financial Services Commission under Section 93 of the Financial Services Act and Section 155 of the Securities Act</w:t>
      </w:r>
    </w:p>
    <w:p w14:paraId="10EBC88F" w14:textId="596BF493" w:rsidR="00C145A9" w:rsidRPr="008D51F8" w:rsidRDefault="00335157" w:rsidP="0006539A">
      <w:pPr>
        <w:pStyle w:val="Heading2"/>
        <w:jc w:val="center"/>
        <w:rPr>
          <w:rFonts w:ascii="Arial" w:hAnsi="Arial" w:cs="Arial"/>
          <w:bCs/>
        </w:rPr>
      </w:pPr>
      <w:bookmarkStart w:id="0" w:name="_Toc148188514"/>
      <w:r w:rsidRPr="008D51F8">
        <w:rPr>
          <w:rFonts w:ascii="Arial" w:hAnsi="Arial" w:cs="Arial"/>
          <w:bCs/>
        </w:rPr>
        <w:t>P</w:t>
      </w:r>
      <w:r w:rsidR="00C145A9" w:rsidRPr="008D51F8">
        <w:rPr>
          <w:rFonts w:ascii="Arial" w:hAnsi="Arial" w:cs="Arial"/>
          <w:bCs/>
        </w:rPr>
        <w:t>ART 1</w:t>
      </w:r>
      <w:bookmarkEnd w:id="0"/>
    </w:p>
    <w:p w14:paraId="4886C954" w14:textId="2A617560" w:rsidR="00C145A9" w:rsidRPr="00B66184" w:rsidRDefault="00C145A9" w:rsidP="0006539A">
      <w:pPr>
        <w:pStyle w:val="Heading2"/>
        <w:jc w:val="center"/>
        <w:rPr>
          <w:rFonts w:ascii="Arial" w:hAnsi="Arial" w:cs="Arial"/>
        </w:rPr>
      </w:pPr>
      <w:bookmarkStart w:id="1" w:name="_Toc148188515"/>
      <w:r w:rsidRPr="008D51F8">
        <w:rPr>
          <w:rFonts w:ascii="Arial" w:hAnsi="Arial" w:cs="Arial"/>
          <w:bCs/>
        </w:rPr>
        <w:t>PRELIMINARY</w:t>
      </w:r>
      <w:bookmarkEnd w:id="1"/>
    </w:p>
    <w:p w14:paraId="2847AB59" w14:textId="4F25B757" w:rsidR="00DB6E58" w:rsidRPr="00441EF3" w:rsidRDefault="00DB6E58" w:rsidP="00342E61">
      <w:pPr>
        <w:pStyle w:val="iLAWS300Article"/>
        <w:tabs>
          <w:tab w:val="left" w:pos="4170"/>
        </w:tabs>
        <w:rPr>
          <w:rFonts w:ascii="Arial" w:hAnsi="Arial" w:cs="Arial"/>
        </w:rPr>
      </w:pPr>
      <w:bookmarkStart w:id="2" w:name="_Toc148188516"/>
      <w:bookmarkStart w:id="3" w:name="_Toc121091710"/>
      <w:bookmarkStart w:id="4" w:name="_Toc136474856"/>
      <w:r>
        <w:rPr>
          <w:rFonts w:ascii="Arial" w:eastAsia="Arial" w:hAnsi="Arial" w:cs="Arial"/>
        </w:rPr>
        <w:t>1</w:t>
      </w:r>
      <w:r w:rsidRPr="00441EF3">
        <w:rPr>
          <w:rFonts w:ascii="Arial" w:eastAsia="Arial" w:hAnsi="Arial" w:cs="Arial"/>
        </w:rPr>
        <w:tab/>
      </w:r>
      <w:r w:rsidR="004E3B62">
        <w:rPr>
          <w:rFonts w:ascii="Arial" w:eastAsia="Arial" w:hAnsi="Arial" w:cs="Arial"/>
        </w:rPr>
        <w:t>Citation</w:t>
      </w:r>
      <w:bookmarkEnd w:id="2"/>
      <w:r w:rsidR="00342E61">
        <w:rPr>
          <w:rFonts w:ascii="Arial" w:eastAsia="Arial" w:hAnsi="Arial" w:cs="Arial"/>
        </w:rPr>
        <w:tab/>
      </w:r>
    </w:p>
    <w:bookmarkEnd w:id="3"/>
    <w:bookmarkEnd w:id="4"/>
    <w:p w14:paraId="3FC9B7D6" w14:textId="0553D51E" w:rsidR="00877530" w:rsidRPr="00956BB0" w:rsidRDefault="00C277D3" w:rsidP="00877530">
      <w:pPr>
        <w:pStyle w:val="iLAWS301Paragraphunnumbered"/>
      </w:pPr>
      <w:r w:rsidRPr="00C277D3">
        <w:t>This Act may be cited as the Securities (</w:t>
      </w:r>
      <w:r w:rsidR="00BF244C">
        <w:t>Record Keeping</w:t>
      </w:r>
      <w:r w:rsidRPr="00C277D3">
        <w:t xml:space="preserve">) </w:t>
      </w:r>
      <w:r w:rsidR="007C68AC">
        <w:t>Rules</w:t>
      </w:r>
      <w:r w:rsidRPr="00C277D3">
        <w:t xml:space="preserve"> 2023</w:t>
      </w:r>
      <w:r w:rsidR="00877530" w:rsidRPr="00956BB0">
        <w:t>.</w:t>
      </w:r>
    </w:p>
    <w:p w14:paraId="02B908A3" w14:textId="2E5BEBB3" w:rsidR="004311C2" w:rsidRPr="00441EF3" w:rsidRDefault="004311C2" w:rsidP="004311C2">
      <w:pPr>
        <w:pStyle w:val="iLAWS300Article"/>
        <w:rPr>
          <w:rFonts w:ascii="Arial" w:hAnsi="Arial" w:cs="Arial"/>
        </w:rPr>
      </w:pPr>
      <w:bookmarkStart w:id="5" w:name="_Toc148188517"/>
      <w:bookmarkStart w:id="6" w:name="_Toc121091711"/>
      <w:bookmarkStart w:id="7" w:name="_Toc136474857"/>
      <w:r>
        <w:rPr>
          <w:rFonts w:ascii="Arial" w:eastAsia="Arial" w:hAnsi="Arial" w:cs="Arial"/>
        </w:rPr>
        <w:t>2</w:t>
      </w:r>
      <w:r w:rsidRPr="00441EF3">
        <w:rPr>
          <w:rFonts w:ascii="Arial" w:eastAsia="Arial" w:hAnsi="Arial" w:cs="Arial"/>
        </w:rPr>
        <w:tab/>
      </w:r>
      <w:r w:rsidR="00DD2C85">
        <w:rPr>
          <w:rFonts w:ascii="Arial" w:eastAsia="Arial" w:hAnsi="Arial" w:cs="Arial"/>
        </w:rPr>
        <w:t>Interpretation</w:t>
      </w:r>
      <w:bookmarkEnd w:id="5"/>
    </w:p>
    <w:bookmarkEnd w:id="6"/>
    <w:bookmarkEnd w:id="7"/>
    <w:p w14:paraId="602DF856" w14:textId="68C19E8E" w:rsidR="00DE3CD5" w:rsidRDefault="00DE3CD5" w:rsidP="00DE3CD5">
      <w:pPr>
        <w:pStyle w:val="iLAWS301Paragraphunnumbered"/>
      </w:pPr>
      <w:r w:rsidRPr="00DE3CD5">
        <w:t>In th</w:t>
      </w:r>
      <w:r w:rsidR="007C68AC">
        <w:t>es</w:t>
      </w:r>
      <w:r w:rsidR="00F23E21">
        <w:t>e</w:t>
      </w:r>
      <w:r w:rsidR="007C68AC">
        <w:t xml:space="preserve"> Rules </w:t>
      </w:r>
      <w:r w:rsidR="00F23E21" w:rsidRPr="00427166">
        <w:t>—</w:t>
      </w:r>
    </w:p>
    <w:p w14:paraId="09B3023E" w14:textId="77777777" w:rsidR="00342E61" w:rsidRDefault="00342E61" w:rsidP="00DE3CD5">
      <w:pPr>
        <w:pStyle w:val="iLAWS301Paragraphunnumbered"/>
      </w:pPr>
    </w:p>
    <w:p w14:paraId="5F378260" w14:textId="563E6D02" w:rsidR="00D316FD" w:rsidRDefault="00C145A9" w:rsidP="00D316FD">
      <w:pPr>
        <w:pStyle w:val="iLAWS301Paragraphunnumbered"/>
      </w:pPr>
      <w:r>
        <w:t>“</w:t>
      </w:r>
      <w:r w:rsidR="00D316FD">
        <w:t>asset management</w:t>
      </w:r>
      <w:r>
        <w:t xml:space="preserve">” means </w:t>
      </w:r>
      <w:r w:rsidR="00F04ECB">
        <w:t xml:space="preserve">real estate </w:t>
      </w:r>
      <w:r w:rsidR="00EF4C0A">
        <w:t>investment scheme management and securities or futures co</w:t>
      </w:r>
      <w:r w:rsidR="0039417D">
        <w:t>n</w:t>
      </w:r>
      <w:r w:rsidR="00EF4C0A">
        <w:t>tracts management</w:t>
      </w:r>
      <w:r w:rsidR="0039417D">
        <w:t>;</w:t>
      </w:r>
    </w:p>
    <w:p w14:paraId="644B466F" w14:textId="5E2E7F4E" w:rsidR="00EE4C32" w:rsidRDefault="00EE4C32" w:rsidP="00D316FD">
      <w:pPr>
        <w:pStyle w:val="iLAWS301Paragraphunnumbered"/>
      </w:pPr>
      <w:r>
        <w:t xml:space="preserve">“associated entity” </w:t>
      </w:r>
      <w:r w:rsidR="008F067C">
        <w:t xml:space="preserve">in relation to an entity </w:t>
      </w:r>
      <w:r>
        <w:t xml:space="preserve">means </w:t>
      </w:r>
      <w:r w:rsidR="007D3873">
        <w:t>an entity –</w:t>
      </w:r>
    </w:p>
    <w:p w14:paraId="0A2EB06E" w14:textId="77777777" w:rsidR="008F067C" w:rsidRDefault="008F067C" w:rsidP="007D3873">
      <w:pPr>
        <w:pStyle w:val="iLAWS301Paragraphunnumbered"/>
        <w:numPr>
          <w:ilvl w:val="0"/>
          <w:numId w:val="18"/>
        </w:numPr>
      </w:pPr>
      <w:r>
        <w:t xml:space="preserve">that </w:t>
      </w:r>
      <w:r w:rsidR="007D3873">
        <w:t>is a subsidiary or holding</w:t>
      </w:r>
      <w:r>
        <w:t xml:space="preserve"> company of an entity; </w:t>
      </w:r>
    </w:p>
    <w:p w14:paraId="5C6D9EAB" w14:textId="186E60CF" w:rsidR="007D3873" w:rsidRPr="005C7C2F" w:rsidRDefault="000A23E2" w:rsidP="007D3873">
      <w:pPr>
        <w:pStyle w:val="iLAWS301Paragraphunnumbered"/>
        <w:numPr>
          <w:ilvl w:val="0"/>
          <w:numId w:val="18"/>
        </w:numPr>
      </w:pPr>
      <w:r w:rsidRPr="005C7C2F">
        <w:t xml:space="preserve">an entity not being a </w:t>
      </w:r>
      <w:r w:rsidR="004A443A" w:rsidRPr="005C7C2F">
        <w:t>subsidiary of the entity has an interest in the shares</w:t>
      </w:r>
      <w:r w:rsidR="00EC2C9A" w:rsidRPr="005C7C2F">
        <w:t xml:space="preserve"> </w:t>
      </w:r>
      <w:r w:rsidR="005E47CA" w:rsidRPr="005C7C2F">
        <w:t xml:space="preserve">of </w:t>
      </w:r>
      <w:r w:rsidR="00EC2C9A" w:rsidRPr="005C7C2F">
        <w:t xml:space="preserve">in a class comprised </w:t>
      </w:r>
      <w:r w:rsidR="00BB55CE" w:rsidRPr="005C7C2F">
        <w:t>in its share capital</w:t>
      </w:r>
      <w:r w:rsidR="00F2021F" w:rsidRPr="005C7C2F">
        <w:t xml:space="preserve"> exceeding in number of one-fifth of the number of the issued shares of that class</w:t>
      </w:r>
      <w:r w:rsidR="005E47CA" w:rsidRPr="005C7C2F">
        <w:t xml:space="preserve">; </w:t>
      </w:r>
    </w:p>
    <w:p w14:paraId="6F917EBB" w14:textId="61126F5A" w:rsidR="00D316FD" w:rsidRDefault="001941A5" w:rsidP="00D316FD">
      <w:pPr>
        <w:pStyle w:val="iLAWS301Paragraphunnumbered"/>
      </w:pPr>
      <w:r w:rsidRPr="005C7C2F">
        <w:t>“</w:t>
      </w:r>
      <w:proofErr w:type="gramStart"/>
      <w:r w:rsidR="00D316FD" w:rsidRPr="005C7C2F">
        <w:t>ma</w:t>
      </w:r>
      <w:r w:rsidR="00D316FD">
        <w:t>rgined</w:t>
      </w:r>
      <w:proofErr w:type="gramEnd"/>
      <w:r w:rsidR="00D316FD">
        <w:t xml:space="preserve"> transaction</w:t>
      </w:r>
      <w:r>
        <w:t>” means</w:t>
      </w:r>
      <w:r w:rsidR="00D316FD">
        <w:t xml:space="preserve"> a contract entered into in </w:t>
      </w:r>
      <w:r>
        <w:t xml:space="preserve">Mauritius </w:t>
      </w:r>
      <w:r w:rsidR="00D316FD">
        <w:t>by an intermediary with or on behalf of a client of the intermediary in the conduct by the intermediary of any of the businesses which constitute</w:t>
      </w:r>
      <w:r w:rsidR="00D316FD">
        <w:rPr>
          <w:rFonts w:hint="eastAsia"/>
        </w:rPr>
        <w:t>—</w:t>
      </w:r>
    </w:p>
    <w:p w14:paraId="3BB7AE51" w14:textId="6EB9EA64" w:rsidR="00D316FD" w:rsidRDefault="00D316FD" w:rsidP="00DC02F3">
      <w:pPr>
        <w:pStyle w:val="iLAWS301Paragraphunnumbered"/>
        <w:tabs>
          <w:tab w:val="left" w:pos="1134"/>
        </w:tabs>
      </w:pPr>
      <w:r>
        <w:t>(a)</w:t>
      </w:r>
      <w:r w:rsidR="00DC02F3">
        <w:tab/>
      </w:r>
      <w:r>
        <w:t>any regulated activity for which the intermediary is licensed or registered, that is a contract for—</w:t>
      </w:r>
    </w:p>
    <w:p w14:paraId="10A71FF0" w14:textId="77777777" w:rsidR="00D316FD" w:rsidRDefault="00D316FD" w:rsidP="00DC02F3">
      <w:pPr>
        <w:pStyle w:val="iLAWS301Paragraphunnumbered"/>
        <w:ind w:left="1701" w:hanging="567"/>
      </w:pPr>
      <w:r>
        <w:t>(i)</w:t>
      </w:r>
      <w:r>
        <w:tab/>
        <w:t>a dealing in securities (except a market contract); or</w:t>
      </w:r>
    </w:p>
    <w:p w14:paraId="7680EABD" w14:textId="77777777" w:rsidR="00D316FD" w:rsidRDefault="00D316FD" w:rsidP="00DC02F3">
      <w:pPr>
        <w:pStyle w:val="iLAWS301Paragraphunnumbered"/>
        <w:ind w:left="1701" w:hanging="567"/>
      </w:pPr>
      <w:r>
        <w:t>(ii)</w:t>
      </w:r>
      <w:r>
        <w:tab/>
        <w:t>a dealing in futures contracts (except a market contract); or</w:t>
      </w:r>
    </w:p>
    <w:p w14:paraId="253B56FD" w14:textId="4EA251E2" w:rsidR="00D316FD" w:rsidRDefault="00D316FD" w:rsidP="00DC02F3">
      <w:pPr>
        <w:pStyle w:val="iLAWS301Paragraphunnumbered"/>
        <w:ind w:left="1134" w:hanging="567"/>
      </w:pPr>
      <w:r>
        <w:t>(b)</w:t>
      </w:r>
      <w:r w:rsidR="00DC02F3">
        <w:tab/>
      </w:r>
      <w:r>
        <w:t>the regulated activity of leveraged foreign exchange trading for which the intermediary is licensed, that is a leveraged foreign exchange contract,</w:t>
      </w:r>
    </w:p>
    <w:p w14:paraId="7084F23D" w14:textId="77777777" w:rsidR="00D316FD" w:rsidRDefault="00D316FD" w:rsidP="00DC02F3">
      <w:pPr>
        <w:pStyle w:val="iLAWS301Paragraphunnumbered"/>
        <w:ind w:left="1134"/>
      </w:pPr>
      <w:r>
        <w:t>which requires the client to—</w:t>
      </w:r>
    </w:p>
    <w:p w14:paraId="374DEF31" w14:textId="4981A406" w:rsidR="00D316FD" w:rsidRDefault="00D316FD" w:rsidP="00915853">
      <w:pPr>
        <w:pStyle w:val="iLAWS301Paragraphunnumbered"/>
        <w:tabs>
          <w:tab w:val="left" w:pos="1134"/>
        </w:tabs>
      </w:pPr>
      <w:r>
        <w:t>(c)</w:t>
      </w:r>
      <w:r>
        <w:tab/>
        <w:t>pay a margin to the intermediary; or</w:t>
      </w:r>
    </w:p>
    <w:p w14:paraId="181AEDE4" w14:textId="77777777" w:rsidR="00915853" w:rsidRDefault="00D316FD" w:rsidP="00915853">
      <w:pPr>
        <w:pStyle w:val="iLAWS301Paragraphunnumbered"/>
        <w:tabs>
          <w:tab w:val="left" w:pos="1134"/>
        </w:tabs>
      </w:pPr>
      <w:r>
        <w:t>(d)</w:t>
      </w:r>
      <w:r>
        <w:tab/>
        <w:t>provide security to the intermediary to meet the client’s obligations,</w:t>
      </w:r>
    </w:p>
    <w:p w14:paraId="2AD740F5" w14:textId="436F7230" w:rsidR="00D316FD" w:rsidRDefault="00D316FD" w:rsidP="001941A5">
      <w:pPr>
        <w:pStyle w:val="iLAWS301Paragraphunnumbered"/>
        <w:ind w:left="1287" w:hanging="153"/>
      </w:pPr>
      <w:r>
        <w:t>other than under an arrangement where financial accommodation is provided to the client by the intermediary;</w:t>
      </w:r>
    </w:p>
    <w:p w14:paraId="1EE3CA54" w14:textId="0E21A280" w:rsidR="00D316FD" w:rsidRDefault="001941A5" w:rsidP="00D316FD">
      <w:pPr>
        <w:pStyle w:val="iLAWS301Paragraphunnumbered"/>
      </w:pPr>
      <w:r>
        <w:t>“</w:t>
      </w:r>
      <w:r w:rsidR="00D316FD">
        <w:t>margin value</w:t>
      </w:r>
      <w:r>
        <w:t>”</w:t>
      </w:r>
      <w:r w:rsidR="00D316FD">
        <w:t xml:space="preserve"> </w:t>
      </w:r>
      <w:r w:rsidR="00C145A9">
        <w:t>i</w:t>
      </w:r>
      <w:r w:rsidR="00D316FD">
        <w:t>n relation to each description of securities collateral deposited with an intermediary, means the maximum amount of money which the client by whom and on whose behalf the securities collateral is deposited is permitted to borrow, or otherwise secure other forms of financial accommodation, from the intermediary against that particular description of securities collateral;</w:t>
      </w:r>
    </w:p>
    <w:p w14:paraId="23D5AB65" w14:textId="1753B27D" w:rsidR="00D316FD" w:rsidRDefault="001941A5" w:rsidP="00D316FD">
      <w:pPr>
        <w:pStyle w:val="iLAWS301Paragraphunnumbered"/>
      </w:pPr>
      <w:r>
        <w:t>“</w:t>
      </w:r>
      <w:r w:rsidR="00D316FD">
        <w:t>record</w:t>
      </w:r>
      <w:r>
        <w:t>”</w:t>
      </w:r>
      <w:r w:rsidR="00D316FD">
        <w:t xml:space="preserve"> does not include any tape or other sound recording of any telephone conversation;</w:t>
      </w:r>
    </w:p>
    <w:p w14:paraId="15EC9FE8" w14:textId="7C09C5E0" w:rsidR="00D316FD" w:rsidRDefault="001941A5" w:rsidP="00255445">
      <w:pPr>
        <w:pStyle w:val="iLAWS301Paragraphunnumbered"/>
      </w:pPr>
      <w:r>
        <w:t>“</w:t>
      </w:r>
      <w:r w:rsidR="00D316FD">
        <w:t>systems of control</w:t>
      </w:r>
      <w:r>
        <w:t>”</w:t>
      </w:r>
      <w:r w:rsidR="00D316FD">
        <w:t>, in relation to an intermediary or an associated entity of an intermediary, means any internal controls and trading, accounting, settlement and stock holding systems it has implemented to ensure its compliance with</w:t>
      </w:r>
      <w:r w:rsidR="00FC67B2">
        <w:t xml:space="preserve"> </w:t>
      </w:r>
      <w:r w:rsidR="00255445">
        <w:t>FSC rules relating to client money and client security.</w:t>
      </w:r>
    </w:p>
    <w:p w14:paraId="63E12FE9" w14:textId="77777777" w:rsidR="00C145A9" w:rsidRDefault="00C145A9" w:rsidP="00D316FD">
      <w:pPr>
        <w:pStyle w:val="iLAWS301Paragraphunnumbered"/>
      </w:pPr>
    </w:p>
    <w:p w14:paraId="44E04913" w14:textId="3E50D9EB" w:rsidR="007A2D8A" w:rsidRPr="008D51F8" w:rsidRDefault="007A2D8A" w:rsidP="00B1225E">
      <w:pPr>
        <w:pStyle w:val="Heading2"/>
        <w:jc w:val="center"/>
        <w:rPr>
          <w:rFonts w:ascii="Arial" w:hAnsi="Arial" w:cs="Arial"/>
          <w:bCs/>
        </w:rPr>
      </w:pPr>
      <w:bookmarkStart w:id="8" w:name="_Toc148188518"/>
      <w:bookmarkStart w:id="9" w:name="_Hlk148086534"/>
      <w:r w:rsidRPr="008D51F8">
        <w:rPr>
          <w:rFonts w:ascii="Arial" w:hAnsi="Arial" w:cs="Arial"/>
          <w:bCs/>
        </w:rPr>
        <w:lastRenderedPageBreak/>
        <w:t>PART 2</w:t>
      </w:r>
      <w:bookmarkEnd w:id="8"/>
    </w:p>
    <w:p w14:paraId="6B6049B9" w14:textId="7FAD23E6" w:rsidR="007A2D8A" w:rsidRPr="00B66184" w:rsidRDefault="007A2D8A" w:rsidP="00B1225E">
      <w:pPr>
        <w:pStyle w:val="Heading2"/>
        <w:jc w:val="center"/>
        <w:rPr>
          <w:rFonts w:ascii="Arial" w:hAnsi="Arial" w:cs="Arial"/>
        </w:rPr>
      </w:pPr>
      <w:bookmarkStart w:id="10" w:name="_Toc148188519"/>
      <w:r w:rsidRPr="008D51F8">
        <w:rPr>
          <w:rFonts w:ascii="Arial" w:hAnsi="Arial" w:cs="Arial"/>
          <w:bCs/>
        </w:rPr>
        <w:t>KEEPING OF RECORDS</w:t>
      </w:r>
      <w:bookmarkEnd w:id="9"/>
      <w:bookmarkEnd w:id="10"/>
    </w:p>
    <w:p w14:paraId="677DE490" w14:textId="77777777" w:rsidR="00D316FD" w:rsidRDefault="00D316FD" w:rsidP="00160B6B">
      <w:pPr>
        <w:pStyle w:val="Heading3"/>
      </w:pPr>
      <w:bookmarkStart w:id="11" w:name="_Toc148188520"/>
      <w:r>
        <w:t>Division 1—General rules</w:t>
      </w:r>
      <w:bookmarkEnd w:id="11"/>
    </w:p>
    <w:p w14:paraId="51648FBE" w14:textId="77777777" w:rsidR="0094263E" w:rsidRDefault="0025245E" w:rsidP="0025245E">
      <w:pPr>
        <w:pStyle w:val="iLAWS300Article"/>
        <w:rPr>
          <w:rFonts w:ascii="Arial" w:eastAsia="Arial" w:hAnsi="Arial" w:cs="Arial"/>
        </w:rPr>
      </w:pPr>
      <w:bookmarkStart w:id="12" w:name="_Toc148188521"/>
      <w:bookmarkStart w:id="13" w:name="_Hlk147888467"/>
      <w:r>
        <w:rPr>
          <w:rFonts w:ascii="Arial" w:eastAsia="Arial" w:hAnsi="Arial" w:cs="Arial"/>
        </w:rPr>
        <w:t>3</w:t>
      </w:r>
      <w:r w:rsidRPr="00441EF3">
        <w:rPr>
          <w:rFonts w:ascii="Arial" w:eastAsia="Arial" w:hAnsi="Arial" w:cs="Arial"/>
        </w:rPr>
        <w:tab/>
      </w:r>
      <w:r>
        <w:rPr>
          <w:rFonts w:ascii="Arial" w:eastAsia="Arial" w:hAnsi="Arial" w:cs="Arial"/>
        </w:rPr>
        <w:t xml:space="preserve">General record keeping </w:t>
      </w:r>
      <w:r w:rsidR="0094263E">
        <w:rPr>
          <w:rFonts w:ascii="Arial" w:eastAsia="Arial" w:hAnsi="Arial" w:cs="Arial"/>
        </w:rPr>
        <w:t>requirements for intermediaries</w:t>
      </w:r>
      <w:bookmarkEnd w:id="12"/>
    </w:p>
    <w:bookmarkEnd w:id="13"/>
    <w:p w14:paraId="65FFD6B4" w14:textId="77777777" w:rsidR="00D316FD" w:rsidRDefault="00D316FD" w:rsidP="00065394">
      <w:pPr>
        <w:pStyle w:val="iLAWS301Paragraphunnumbered"/>
        <w:ind w:left="1437" w:hanging="870"/>
      </w:pPr>
      <w:r>
        <w:t>(1)</w:t>
      </w:r>
      <w:r>
        <w:tab/>
        <w:t>An intermediary shall, in relation to the businesses which constitute any regulated activities for which it is licensed or registered—</w:t>
      </w:r>
    </w:p>
    <w:p w14:paraId="22DCA457" w14:textId="602356B5" w:rsidR="00D316FD" w:rsidRDefault="00D316FD" w:rsidP="00560CE9">
      <w:pPr>
        <w:pStyle w:val="iLAWS301Paragraphunnumbered"/>
        <w:ind w:left="2157" w:hanging="720"/>
      </w:pPr>
      <w:r>
        <w:t>(a)</w:t>
      </w:r>
      <w:r>
        <w:tab/>
        <w:t>keep, where applicable, such accounting, trading and other records as are sufficient to—</w:t>
      </w:r>
    </w:p>
    <w:p w14:paraId="05995522" w14:textId="77777777" w:rsidR="00D316FD" w:rsidRDefault="00D316FD" w:rsidP="00560CE9">
      <w:pPr>
        <w:pStyle w:val="iLAWS301Paragraphunnumbered"/>
        <w:ind w:firstLine="1701"/>
      </w:pPr>
      <w:r>
        <w:t>(i)</w:t>
      </w:r>
      <w:r>
        <w:tab/>
        <w:t>explain, and reflect the financial position and operation of, such businesses;</w:t>
      </w:r>
    </w:p>
    <w:p w14:paraId="16970D76" w14:textId="0DDE00C6" w:rsidR="00D316FD" w:rsidRDefault="00D316FD" w:rsidP="003067A6">
      <w:pPr>
        <w:pStyle w:val="iLAWS301Paragraphunnumbered"/>
        <w:ind w:left="2880" w:hanging="612"/>
      </w:pPr>
      <w:r>
        <w:t>(ii)</w:t>
      </w:r>
      <w:r>
        <w:tab/>
        <w:t>enable profit and loss accounts and balance sheets that give a true and fair view of its financial affairs to be prepared from time to time;</w:t>
      </w:r>
    </w:p>
    <w:p w14:paraId="3BEC23F6" w14:textId="140438BD" w:rsidR="00D316FD" w:rsidRDefault="003067A6" w:rsidP="003067A6">
      <w:pPr>
        <w:pStyle w:val="iLAWS301Paragraphunnumbered"/>
        <w:ind w:left="2268"/>
      </w:pPr>
      <w:r>
        <w:t>(</w:t>
      </w:r>
      <w:r w:rsidR="00D316FD">
        <w:t>iii)</w:t>
      </w:r>
      <w:r w:rsidR="00D316FD">
        <w:tab/>
        <w:t>account for all client assets that it receives or holds;</w:t>
      </w:r>
    </w:p>
    <w:p w14:paraId="6D2C61C4" w14:textId="77777777" w:rsidR="00D316FD" w:rsidRDefault="00D316FD" w:rsidP="003067A6">
      <w:pPr>
        <w:pStyle w:val="iLAWS301Paragraphunnumbered"/>
        <w:ind w:firstLine="1701"/>
      </w:pPr>
      <w:r>
        <w:t>(iv)</w:t>
      </w:r>
      <w:r>
        <w:tab/>
        <w:t xml:space="preserve">enable all movements of such client assets to be </w:t>
      </w:r>
    </w:p>
    <w:p w14:paraId="5AAF8E64" w14:textId="77777777" w:rsidR="00D316FD" w:rsidRDefault="00D316FD" w:rsidP="003067A6">
      <w:pPr>
        <w:pStyle w:val="iLAWS301Paragraphunnumbered"/>
        <w:tabs>
          <w:tab w:val="left" w:pos="2835"/>
        </w:tabs>
        <w:ind w:left="2835"/>
      </w:pPr>
      <w:r>
        <w:t>traced through its accounting systems and, where applicable, stock holding systems;</w:t>
      </w:r>
    </w:p>
    <w:p w14:paraId="1BF68BA4" w14:textId="77777777" w:rsidR="00D316FD" w:rsidRDefault="00D316FD" w:rsidP="008F25D7">
      <w:pPr>
        <w:pStyle w:val="iLAWS301Paragraphunnumbered"/>
        <w:ind w:left="2835" w:hanging="567"/>
      </w:pPr>
      <w:r>
        <w:t>(v)</w:t>
      </w:r>
      <w:r>
        <w:tab/>
        <w:t>reconcile, on a monthly basis, any differences in its balances or positions with other persons, including—</w:t>
      </w:r>
    </w:p>
    <w:p w14:paraId="5C57C8FA" w14:textId="77777777" w:rsidR="00D316FD" w:rsidRDefault="00D316FD" w:rsidP="00006681">
      <w:pPr>
        <w:pStyle w:val="iLAWS301Paragraphunnumbered"/>
        <w:ind w:left="2835"/>
      </w:pPr>
      <w:r>
        <w:t>(A)</w:t>
      </w:r>
      <w:r>
        <w:tab/>
        <w:t>its associated entities;</w:t>
      </w:r>
    </w:p>
    <w:p w14:paraId="64D28C4E" w14:textId="7C5D8365" w:rsidR="006E0F85" w:rsidRDefault="00D316FD" w:rsidP="00006681">
      <w:pPr>
        <w:pStyle w:val="iLAWS301Paragraphunnumbered"/>
        <w:ind w:left="2835"/>
      </w:pPr>
      <w:r>
        <w:t>(B)</w:t>
      </w:r>
      <w:r>
        <w:tab/>
      </w:r>
      <w:r w:rsidR="006E0F85">
        <w:t xml:space="preserve">securities exchanges </w:t>
      </w:r>
    </w:p>
    <w:p w14:paraId="7B238599" w14:textId="0B715091" w:rsidR="00D316FD" w:rsidRDefault="006E0F85" w:rsidP="00006681">
      <w:pPr>
        <w:pStyle w:val="iLAWS301Paragraphunnumbered"/>
        <w:ind w:left="2835"/>
      </w:pPr>
      <w:r>
        <w:t>(C</w:t>
      </w:r>
      <w:r w:rsidR="00D316FD">
        <w:t>)</w:t>
      </w:r>
      <w:r w:rsidR="00D316FD">
        <w:tab/>
        <w:t>clearing houses;</w:t>
      </w:r>
    </w:p>
    <w:p w14:paraId="1CC941C9" w14:textId="77777777" w:rsidR="00D316FD" w:rsidRDefault="00D316FD" w:rsidP="00006681">
      <w:pPr>
        <w:pStyle w:val="iLAWS301Paragraphunnumbered"/>
        <w:ind w:left="2835"/>
      </w:pPr>
      <w:r>
        <w:t>(D)</w:t>
      </w:r>
      <w:r>
        <w:tab/>
        <w:t>other intermediaries;</w:t>
      </w:r>
    </w:p>
    <w:p w14:paraId="3D066FAD" w14:textId="77777777" w:rsidR="00D316FD" w:rsidRDefault="00D316FD" w:rsidP="00006681">
      <w:pPr>
        <w:pStyle w:val="iLAWS301Paragraphunnumbered"/>
        <w:ind w:left="2835"/>
      </w:pPr>
      <w:r>
        <w:t>(E)</w:t>
      </w:r>
      <w:r>
        <w:tab/>
        <w:t>custodians; and</w:t>
      </w:r>
    </w:p>
    <w:p w14:paraId="3AF72681" w14:textId="77777777" w:rsidR="00D316FD" w:rsidRDefault="00D316FD" w:rsidP="00006681">
      <w:pPr>
        <w:pStyle w:val="iLAWS301Paragraphunnumbered"/>
        <w:ind w:left="2835"/>
      </w:pPr>
      <w:r>
        <w:t>(F)</w:t>
      </w:r>
      <w:r>
        <w:tab/>
        <w:t>banks,</w:t>
      </w:r>
    </w:p>
    <w:p w14:paraId="368CE780" w14:textId="77777777" w:rsidR="00D316FD" w:rsidRDefault="00D316FD" w:rsidP="00006681">
      <w:pPr>
        <w:pStyle w:val="iLAWS301Paragraphunnumbered"/>
        <w:ind w:left="2835"/>
      </w:pPr>
      <w:r>
        <w:t>and show how such differences were resolved;</w:t>
      </w:r>
    </w:p>
    <w:p w14:paraId="5699DBA9" w14:textId="77777777" w:rsidR="00D316FD" w:rsidRDefault="00D316FD" w:rsidP="008F25D7">
      <w:pPr>
        <w:pStyle w:val="iLAWS301Paragraphunnumbered"/>
        <w:ind w:firstLine="1701"/>
      </w:pPr>
      <w:r>
        <w:t>(vi)</w:t>
      </w:r>
      <w:r>
        <w:tab/>
        <w:t>demonstrate—</w:t>
      </w:r>
    </w:p>
    <w:p w14:paraId="678CCB24" w14:textId="01570DC2" w:rsidR="00D316FD" w:rsidRDefault="00D316FD" w:rsidP="00DD6C92">
      <w:pPr>
        <w:pStyle w:val="iLAWS301Paragraphunnumbered"/>
        <w:ind w:left="3544" w:hanging="709"/>
      </w:pPr>
      <w:r>
        <w:t>(A)</w:t>
      </w:r>
      <w:r>
        <w:tab/>
        <w:t xml:space="preserve">compliance by it with </w:t>
      </w:r>
      <w:r w:rsidR="005E5221">
        <w:t>relevant</w:t>
      </w:r>
      <w:r w:rsidR="004A1C36">
        <w:t xml:space="preserve"> FSC Rules</w:t>
      </w:r>
      <w:r>
        <w:t>;</w:t>
      </w:r>
    </w:p>
    <w:p w14:paraId="5FCCF439" w14:textId="62D6FC53" w:rsidR="00D316FD" w:rsidRDefault="00D316FD" w:rsidP="00DD6C92">
      <w:pPr>
        <w:pStyle w:val="iLAWS301Paragraphunnumbered"/>
        <w:ind w:left="3544" w:hanging="709"/>
      </w:pPr>
      <w:r>
        <w:t>(B)</w:t>
      </w:r>
      <w:r>
        <w:tab/>
        <w:t xml:space="preserve">that it has systems of control in place to ensure compliance with </w:t>
      </w:r>
      <w:r w:rsidR="002C4387">
        <w:t>relevant the FSC Rules</w:t>
      </w:r>
      <w:r>
        <w:t>; and</w:t>
      </w:r>
    </w:p>
    <w:p w14:paraId="54C2211F" w14:textId="4E471A49" w:rsidR="00D316FD" w:rsidRDefault="00D316FD" w:rsidP="00DD6C92">
      <w:pPr>
        <w:pStyle w:val="iLAWS301Paragraphunnumbered"/>
        <w:ind w:left="2835" w:hanging="708"/>
      </w:pPr>
      <w:r>
        <w:t>(vii)</w:t>
      </w:r>
      <w:r>
        <w:tab/>
        <w:t xml:space="preserve">enable it readily to establish whether it has complied </w:t>
      </w:r>
      <w:r w:rsidR="002C4387">
        <w:t xml:space="preserve">with the relevant </w:t>
      </w:r>
      <w:r w:rsidR="007F1390">
        <w:t>FSC Rules</w:t>
      </w:r>
      <w:r>
        <w:t>;</w:t>
      </w:r>
    </w:p>
    <w:p w14:paraId="367D8A1D" w14:textId="77777777" w:rsidR="00D316FD" w:rsidRDefault="00D316FD" w:rsidP="0079226F">
      <w:pPr>
        <w:pStyle w:val="iLAWS301Paragraphunnumbered"/>
        <w:ind w:left="2268" w:hanging="567"/>
      </w:pPr>
      <w:r>
        <w:t>(b)</w:t>
      </w:r>
      <w:r>
        <w:tab/>
        <w:t>keep those records in such manner as will enable an audit to be conveniently and properly carried out; and</w:t>
      </w:r>
    </w:p>
    <w:p w14:paraId="09284AF0" w14:textId="77777777" w:rsidR="00D316FD" w:rsidRDefault="00D316FD" w:rsidP="0079226F">
      <w:pPr>
        <w:pStyle w:val="iLAWS301Paragraphunnumbered"/>
        <w:ind w:left="2268" w:hanging="567"/>
      </w:pPr>
      <w:r>
        <w:t>(c)</w:t>
      </w:r>
      <w:r>
        <w:tab/>
        <w:t>make entries in those records in accordance with generally accepted accounting principles.</w:t>
      </w:r>
    </w:p>
    <w:p w14:paraId="69CF88D7" w14:textId="5E19351F" w:rsidR="00D316FD" w:rsidRDefault="00D316FD" w:rsidP="0079226F">
      <w:pPr>
        <w:pStyle w:val="iLAWS301Paragraphunnumbered"/>
        <w:ind w:left="1701" w:hanging="567"/>
      </w:pPr>
      <w:r>
        <w:t>(2)</w:t>
      </w:r>
      <w:r>
        <w:tab/>
      </w:r>
      <w:r w:rsidR="00107C22">
        <w:t>W</w:t>
      </w:r>
      <w:r>
        <w:t xml:space="preserve">ithout limiting the generality of </w:t>
      </w:r>
      <w:r w:rsidR="00B566C4">
        <w:t xml:space="preserve">paragraph </w:t>
      </w:r>
      <w:r>
        <w:t xml:space="preserve">(1)(a), the records referred to in that </w:t>
      </w:r>
      <w:r w:rsidR="00B566C4">
        <w:t xml:space="preserve">paragraph </w:t>
      </w:r>
      <w:r>
        <w:t>shall, where applicable, include—</w:t>
      </w:r>
    </w:p>
    <w:p w14:paraId="59C18E06" w14:textId="77777777" w:rsidR="00D316FD" w:rsidRDefault="00D316FD" w:rsidP="0079226F">
      <w:pPr>
        <w:pStyle w:val="iLAWS301Paragraphunnumbered"/>
        <w:ind w:firstLine="1134"/>
      </w:pPr>
      <w:r>
        <w:t>(a)</w:t>
      </w:r>
      <w:r>
        <w:tab/>
        <w:t>the records specified in the Schedule; and</w:t>
      </w:r>
    </w:p>
    <w:p w14:paraId="717267ED" w14:textId="58749B0D" w:rsidR="00D316FD" w:rsidRDefault="00D316FD" w:rsidP="0079226F">
      <w:pPr>
        <w:pStyle w:val="iLAWS301Paragraphunnumbered"/>
        <w:ind w:firstLine="1134"/>
      </w:pPr>
      <w:r>
        <w:t>(b)</w:t>
      </w:r>
      <w:r>
        <w:tab/>
        <w:t xml:space="preserve">the records specified in </w:t>
      </w:r>
      <w:r w:rsidR="007F1390">
        <w:t>Rule</w:t>
      </w:r>
      <w:r>
        <w:t xml:space="preserve"> 5, 6, 7(2) or 8.</w:t>
      </w:r>
    </w:p>
    <w:p w14:paraId="6F75F227" w14:textId="3BCE303D" w:rsidR="00C3679A" w:rsidRDefault="00C3679A" w:rsidP="00C3679A">
      <w:pPr>
        <w:pStyle w:val="iLAWS300Article"/>
        <w:rPr>
          <w:rFonts w:ascii="Arial" w:eastAsia="Arial" w:hAnsi="Arial" w:cs="Arial"/>
        </w:rPr>
      </w:pPr>
      <w:bookmarkStart w:id="14" w:name="_Toc148188522"/>
      <w:r>
        <w:rPr>
          <w:rFonts w:ascii="Arial" w:eastAsia="Arial" w:hAnsi="Arial" w:cs="Arial"/>
        </w:rPr>
        <w:t>4</w:t>
      </w:r>
      <w:r w:rsidRPr="00441EF3">
        <w:rPr>
          <w:rFonts w:ascii="Arial" w:eastAsia="Arial" w:hAnsi="Arial" w:cs="Arial"/>
        </w:rPr>
        <w:tab/>
      </w:r>
      <w:r>
        <w:rPr>
          <w:rFonts w:ascii="Arial" w:eastAsia="Arial" w:hAnsi="Arial" w:cs="Arial"/>
        </w:rPr>
        <w:t>Record keeping requirements for associated entities</w:t>
      </w:r>
      <w:bookmarkEnd w:id="14"/>
    </w:p>
    <w:p w14:paraId="0C93A3BF" w14:textId="77777777" w:rsidR="00D316FD" w:rsidRDefault="00D316FD" w:rsidP="0079226F">
      <w:pPr>
        <w:pStyle w:val="iLAWS301Paragraphunnumbered"/>
        <w:ind w:left="993" w:hanging="426"/>
      </w:pPr>
      <w:r>
        <w:t>(1)</w:t>
      </w:r>
      <w:r>
        <w:tab/>
        <w:t>An associated entity of an intermediary shall, in respect of client assets of the intermediary that it receives or holds—</w:t>
      </w:r>
    </w:p>
    <w:p w14:paraId="328C0A7A" w14:textId="77777777" w:rsidR="00D316FD" w:rsidRDefault="00D316FD" w:rsidP="0079226F">
      <w:pPr>
        <w:pStyle w:val="iLAWS301Paragraphunnumbered"/>
        <w:tabs>
          <w:tab w:val="left" w:pos="1134"/>
        </w:tabs>
        <w:ind w:left="1701" w:hanging="567"/>
      </w:pPr>
      <w:r>
        <w:t>(a)</w:t>
      </w:r>
      <w:r>
        <w:tab/>
        <w:t>keep, where applicable, such accounting and other records as are sufficient to—</w:t>
      </w:r>
    </w:p>
    <w:p w14:paraId="417ABB05" w14:textId="77777777" w:rsidR="00D316FD" w:rsidRDefault="00D316FD" w:rsidP="0079226F">
      <w:pPr>
        <w:pStyle w:val="iLAWS301Paragraphunnumbered"/>
        <w:ind w:left="2268" w:hanging="567"/>
      </w:pPr>
      <w:r>
        <w:t>(i)</w:t>
      </w:r>
      <w:r>
        <w:tab/>
        <w:t>account for the client assets;</w:t>
      </w:r>
    </w:p>
    <w:p w14:paraId="7C135F67" w14:textId="23AB3CA5" w:rsidR="00D316FD" w:rsidRDefault="00D316FD" w:rsidP="0079226F">
      <w:pPr>
        <w:pStyle w:val="iLAWS301Paragraphunnumbered"/>
        <w:ind w:left="2268" w:hanging="567"/>
      </w:pPr>
      <w:r>
        <w:lastRenderedPageBreak/>
        <w:t>(ii)</w:t>
      </w:r>
      <w:r>
        <w:tab/>
        <w:t xml:space="preserve">enable all movements of the client assets to be </w:t>
      </w:r>
      <w:r w:rsidR="0079226F">
        <w:tab/>
      </w:r>
      <w:r>
        <w:t>traced through its accounting systems and, where applicable, stock holding systems;</w:t>
      </w:r>
    </w:p>
    <w:p w14:paraId="7269B69C" w14:textId="77777777" w:rsidR="0079226F" w:rsidRDefault="00D316FD" w:rsidP="0079226F">
      <w:pPr>
        <w:pStyle w:val="iLAWS301Paragraphunnumbered"/>
        <w:ind w:left="2268" w:hanging="567"/>
      </w:pPr>
      <w:r>
        <w:t>(iii)</w:t>
      </w:r>
      <w:r>
        <w:tab/>
        <w:t>show separately and account for all receipts, payments, deliveries and other uses or applications of the client assets effected by it, or on its behalf, and on whose behalf such receipts, payments, deliveries or other uses or applications of the client assets have been effected;</w:t>
      </w:r>
    </w:p>
    <w:p w14:paraId="4374504E" w14:textId="44790961" w:rsidR="00D316FD" w:rsidRDefault="00D316FD" w:rsidP="0079226F">
      <w:pPr>
        <w:pStyle w:val="iLAWS301Paragraphunnumbered"/>
        <w:ind w:left="2268" w:hanging="567"/>
      </w:pPr>
      <w:r>
        <w:t>(iv)</w:t>
      </w:r>
      <w:r>
        <w:tab/>
        <w:t>reconcile, on a monthly basis, any differences in its balances or positions with other persons, including—</w:t>
      </w:r>
    </w:p>
    <w:p w14:paraId="6039881E" w14:textId="77777777" w:rsidR="00D316FD" w:rsidRDefault="00D316FD" w:rsidP="0079226F">
      <w:pPr>
        <w:pStyle w:val="iLAWS301Paragraphunnumbered"/>
        <w:ind w:firstLine="1560"/>
      </w:pPr>
      <w:r>
        <w:t>(A)</w:t>
      </w:r>
      <w:r>
        <w:tab/>
        <w:t>the intermediary of which it is an associated entity;</w:t>
      </w:r>
    </w:p>
    <w:p w14:paraId="1A27C131" w14:textId="77777777" w:rsidR="00D316FD" w:rsidRDefault="00D316FD" w:rsidP="0079226F">
      <w:pPr>
        <w:pStyle w:val="iLAWS301Paragraphunnumbered"/>
        <w:ind w:firstLine="1560"/>
      </w:pPr>
      <w:r>
        <w:t>(B)</w:t>
      </w:r>
      <w:r>
        <w:tab/>
        <w:t>recognized exchange companies;</w:t>
      </w:r>
    </w:p>
    <w:p w14:paraId="022B238F" w14:textId="77777777" w:rsidR="00D316FD" w:rsidRDefault="00D316FD" w:rsidP="0079226F">
      <w:pPr>
        <w:pStyle w:val="iLAWS301Paragraphunnumbered"/>
        <w:ind w:firstLine="1560"/>
      </w:pPr>
      <w:r>
        <w:t>(C)</w:t>
      </w:r>
      <w:r>
        <w:tab/>
        <w:t>clearing houses;</w:t>
      </w:r>
    </w:p>
    <w:p w14:paraId="4BFFE59D" w14:textId="77777777" w:rsidR="00D316FD" w:rsidRDefault="00D316FD" w:rsidP="0079226F">
      <w:pPr>
        <w:pStyle w:val="iLAWS301Paragraphunnumbered"/>
        <w:ind w:firstLine="1560"/>
      </w:pPr>
      <w:r>
        <w:t>(D)</w:t>
      </w:r>
      <w:r>
        <w:tab/>
        <w:t>other intermediaries;</w:t>
      </w:r>
    </w:p>
    <w:p w14:paraId="33188883" w14:textId="77777777" w:rsidR="00D316FD" w:rsidRDefault="00D316FD" w:rsidP="0079226F">
      <w:pPr>
        <w:pStyle w:val="iLAWS301Paragraphunnumbered"/>
        <w:ind w:firstLine="1560"/>
      </w:pPr>
      <w:r>
        <w:t>(E)</w:t>
      </w:r>
      <w:r>
        <w:tab/>
        <w:t>custodians; and</w:t>
      </w:r>
    </w:p>
    <w:p w14:paraId="4F39D737" w14:textId="77777777" w:rsidR="00D316FD" w:rsidRDefault="00D316FD" w:rsidP="0079226F">
      <w:pPr>
        <w:pStyle w:val="iLAWS301Paragraphunnumbered"/>
        <w:ind w:firstLine="1560"/>
      </w:pPr>
      <w:r>
        <w:t>(F)</w:t>
      </w:r>
      <w:r>
        <w:tab/>
        <w:t>banks,</w:t>
      </w:r>
    </w:p>
    <w:p w14:paraId="790239B6" w14:textId="77777777" w:rsidR="00D316FD" w:rsidRDefault="00D316FD" w:rsidP="0079226F">
      <w:pPr>
        <w:pStyle w:val="iLAWS301Paragraphunnumbered"/>
        <w:ind w:left="2127"/>
      </w:pPr>
      <w:r>
        <w:t>and show how such differences were resolved; and</w:t>
      </w:r>
    </w:p>
    <w:p w14:paraId="656CE810" w14:textId="77777777" w:rsidR="00D316FD" w:rsidRDefault="00D316FD" w:rsidP="0079226F">
      <w:pPr>
        <w:pStyle w:val="iLAWS301Paragraphunnumbered"/>
        <w:ind w:firstLine="851"/>
      </w:pPr>
      <w:r>
        <w:t>(v)</w:t>
      </w:r>
      <w:r>
        <w:tab/>
        <w:t>demonstrate—</w:t>
      </w:r>
    </w:p>
    <w:p w14:paraId="1E0F8BDA" w14:textId="69CEF1F3" w:rsidR="00D316FD" w:rsidRDefault="00D316FD" w:rsidP="0079226F">
      <w:pPr>
        <w:pStyle w:val="iLAWS301Paragraphunnumbered"/>
        <w:tabs>
          <w:tab w:val="left" w:pos="2835"/>
        </w:tabs>
        <w:ind w:left="2835" w:hanging="708"/>
      </w:pPr>
      <w:r>
        <w:t>(A)</w:t>
      </w:r>
      <w:r>
        <w:tab/>
        <w:t xml:space="preserve">compliance by it </w:t>
      </w:r>
      <w:r w:rsidR="00215340">
        <w:t>relevant FSC Rules</w:t>
      </w:r>
      <w:r>
        <w:t>;</w:t>
      </w:r>
    </w:p>
    <w:p w14:paraId="5574DC19" w14:textId="5C5C2601" w:rsidR="00D316FD" w:rsidRDefault="00D316FD" w:rsidP="0079226F">
      <w:pPr>
        <w:pStyle w:val="iLAWS301Paragraphunnumbered"/>
        <w:tabs>
          <w:tab w:val="left" w:pos="2835"/>
        </w:tabs>
        <w:ind w:left="2835" w:hanging="708"/>
      </w:pPr>
      <w:r>
        <w:t>(B)</w:t>
      </w:r>
      <w:r>
        <w:tab/>
        <w:t xml:space="preserve">compliance by it with </w:t>
      </w:r>
      <w:r w:rsidR="00215340">
        <w:t>relevant FSC Rules</w:t>
      </w:r>
      <w:r>
        <w:t>; and</w:t>
      </w:r>
    </w:p>
    <w:p w14:paraId="0A3BD160" w14:textId="73450C3E" w:rsidR="00D316FD" w:rsidRDefault="00D316FD" w:rsidP="0079226F">
      <w:pPr>
        <w:pStyle w:val="iLAWS301Paragraphunnumbered"/>
        <w:tabs>
          <w:tab w:val="left" w:pos="2835"/>
        </w:tabs>
        <w:ind w:left="2835" w:hanging="708"/>
      </w:pPr>
      <w:r>
        <w:t>(C)</w:t>
      </w:r>
      <w:r>
        <w:tab/>
        <w:t xml:space="preserve">that it has systems of control in place to ensure compliance with </w:t>
      </w:r>
      <w:r w:rsidR="00215340">
        <w:t>relevant FSC Rules</w:t>
      </w:r>
      <w:r>
        <w:t>;</w:t>
      </w:r>
    </w:p>
    <w:p w14:paraId="1E90B745" w14:textId="4BE94A9A" w:rsidR="0079226F" w:rsidRDefault="00D316FD" w:rsidP="0079226F">
      <w:pPr>
        <w:pStyle w:val="iLAWS301Paragraphunnumbered"/>
        <w:ind w:left="1701" w:hanging="567"/>
      </w:pPr>
      <w:r>
        <w:t>(b)</w:t>
      </w:r>
      <w:r>
        <w:tab/>
      </w:r>
      <w:r w:rsidR="0079226F">
        <w:t xml:space="preserve">keep </w:t>
      </w:r>
      <w:r>
        <w:t>those records in such manner as will enable an audit to be conveniently and properly carried out; an</w:t>
      </w:r>
      <w:r w:rsidR="0079226F">
        <w:t>d</w:t>
      </w:r>
    </w:p>
    <w:p w14:paraId="1A00AACD" w14:textId="286AA6E0" w:rsidR="00D316FD" w:rsidRDefault="00D316FD" w:rsidP="0079226F">
      <w:pPr>
        <w:pStyle w:val="iLAWS301Paragraphunnumbered"/>
        <w:ind w:left="1701" w:hanging="567"/>
      </w:pPr>
      <w:r>
        <w:t>(c)</w:t>
      </w:r>
      <w:r>
        <w:tab/>
        <w:t>make entries in those records in accordance with generally accepted accounting principles.</w:t>
      </w:r>
    </w:p>
    <w:p w14:paraId="26A54122" w14:textId="773BC7DA" w:rsidR="00D316FD" w:rsidRDefault="00D316FD" w:rsidP="0079226F">
      <w:pPr>
        <w:pStyle w:val="iLAWS301Paragraphunnumbered"/>
        <w:ind w:left="1134" w:hanging="567"/>
      </w:pPr>
      <w:r>
        <w:t>(2)</w:t>
      </w:r>
      <w:r>
        <w:tab/>
        <w:t xml:space="preserve">Without limiting the generality of </w:t>
      </w:r>
      <w:r w:rsidR="00E4351D">
        <w:t>paragraph</w:t>
      </w:r>
      <w:r>
        <w:t xml:space="preserve"> (1)(a), the records referred to in that </w:t>
      </w:r>
      <w:r w:rsidR="00241D47">
        <w:t>paragraph</w:t>
      </w:r>
      <w:r>
        <w:t xml:space="preserve"> shall, where applicable, include—</w:t>
      </w:r>
    </w:p>
    <w:p w14:paraId="2CC073D8" w14:textId="77777777" w:rsidR="00D316FD" w:rsidRDefault="00D316FD" w:rsidP="00915853">
      <w:pPr>
        <w:pStyle w:val="iLAWS301Paragraphunnumbered"/>
        <w:ind w:left="1701" w:hanging="567"/>
      </w:pPr>
      <w:r>
        <w:t>(a)</w:t>
      </w:r>
      <w:r>
        <w:tab/>
        <w:t>contracts entered into by it;</w:t>
      </w:r>
    </w:p>
    <w:p w14:paraId="6E28EBAD" w14:textId="77777777" w:rsidR="00D316FD" w:rsidRDefault="00D316FD" w:rsidP="00915853">
      <w:pPr>
        <w:pStyle w:val="iLAWS301Paragraphunnumbered"/>
        <w:ind w:left="1701" w:hanging="567"/>
      </w:pPr>
      <w:r>
        <w:t>(b)</w:t>
      </w:r>
      <w:r>
        <w:tab/>
        <w:t>where the client in question is a professional investor—</w:t>
      </w:r>
    </w:p>
    <w:p w14:paraId="32E62D41" w14:textId="77777777" w:rsidR="00D316FD" w:rsidRDefault="00D316FD" w:rsidP="00915853">
      <w:pPr>
        <w:pStyle w:val="iLAWS301Paragraphunnumbered"/>
        <w:ind w:left="1701" w:hanging="567"/>
      </w:pPr>
      <w:r>
        <w:t>(i)</w:t>
      </w:r>
      <w:r>
        <w:tab/>
        <w:t>records showing particulars sufficient to establish that the client is a professional investor; and</w:t>
      </w:r>
    </w:p>
    <w:p w14:paraId="64FA5463" w14:textId="10E4AFBC" w:rsidR="00F42958" w:rsidRDefault="00D316FD" w:rsidP="00CA01A5">
      <w:pPr>
        <w:pStyle w:val="iLAWS301Paragraphunnumbered"/>
        <w:ind w:left="1701" w:hanging="567"/>
      </w:pPr>
      <w:r>
        <w:t>(ii)</w:t>
      </w:r>
      <w:r>
        <w:tab/>
        <w:t xml:space="preserve">any notice given by it to the client or agreement by the client with it referred to in </w:t>
      </w:r>
      <w:r w:rsidR="00F42958">
        <w:t>relevant FSC Rules</w:t>
      </w:r>
      <w:r w:rsidR="00161C87">
        <w:t>;</w:t>
      </w:r>
    </w:p>
    <w:p w14:paraId="4672DB05" w14:textId="2E1591D5" w:rsidR="00D316FD" w:rsidRDefault="00D316FD" w:rsidP="00915853">
      <w:pPr>
        <w:pStyle w:val="iLAWS301Paragraphunnumbered"/>
        <w:ind w:left="1701" w:hanging="567"/>
      </w:pPr>
      <w:r>
        <w:t>(c)</w:t>
      </w:r>
      <w:r>
        <w:tab/>
        <w:t xml:space="preserve">records evidencing any authority given to it by the </w:t>
      </w:r>
      <w:r w:rsidR="00F42958">
        <w:t xml:space="preserve">client </w:t>
      </w:r>
      <w:r>
        <w:t>and any renewal of such authority; and</w:t>
      </w:r>
    </w:p>
    <w:p w14:paraId="3F491C84" w14:textId="4202BB6A" w:rsidR="00D316FD" w:rsidRDefault="00D316FD" w:rsidP="00915853">
      <w:pPr>
        <w:pStyle w:val="iLAWS301Paragraphunnumbered"/>
        <w:ind w:left="1701" w:hanging="567"/>
      </w:pPr>
      <w:r>
        <w:t>(d)</w:t>
      </w:r>
      <w:r>
        <w:tab/>
        <w:t xml:space="preserve">records evidencing any direction given to it by the client </w:t>
      </w:r>
      <w:r w:rsidR="00F42958">
        <w:t>r</w:t>
      </w:r>
      <w:r>
        <w:t>eferred to in</w:t>
      </w:r>
      <w:r w:rsidR="00F42958">
        <w:t xml:space="preserve"> relevant FSC Rules </w:t>
      </w:r>
    </w:p>
    <w:p w14:paraId="068B861D" w14:textId="18257596" w:rsidR="00D316FD" w:rsidRDefault="00D316FD" w:rsidP="00D316FD">
      <w:pPr>
        <w:pStyle w:val="iLAWS301Paragraphunnumbered"/>
      </w:pPr>
    </w:p>
    <w:p w14:paraId="31A4ADF3" w14:textId="77777777" w:rsidR="00D316FD" w:rsidRPr="004E0407" w:rsidRDefault="00D316FD" w:rsidP="00D316FD">
      <w:pPr>
        <w:pStyle w:val="iLAWS301Paragraphunnumbered"/>
        <w:rPr>
          <w:b/>
          <w:bCs/>
        </w:rPr>
      </w:pPr>
      <w:r w:rsidRPr="004E0407">
        <w:rPr>
          <w:b/>
          <w:bCs/>
        </w:rPr>
        <w:t>Division 2—Particular rules for intermediaries</w:t>
      </w:r>
    </w:p>
    <w:p w14:paraId="3C381079" w14:textId="303A0329" w:rsidR="00704C07" w:rsidRDefault="00704C07" w:rsidP="00704C07">
      <w:pPr>
        <w:pStyle w:val="iLAWS300Article"/>
        <w:rPr>
          <w:rFonts w:ascii="Arial" w:eastAsia="Arial" w:hAnsi="Arial" w:cs="Arial"/>
        </w:rPr>
      </w:pPr>
      <w:bookmarkStart w:id="15" w:name="_Toc148188523"/>
      <w:r>
        <w:rPr>
          <w:rFonts w:ascii="Arial" w:eastAsia="Arial" w:hAnsi="Arial" w:cs="Arial"/>
        </w:rPr>
        <w:t>5</w:t>
      </w:r>
      <w:r w:rsidRPr="00441EF3">
        <w:rPr>
          <w:rFonts w:ascii="Arial" w:eastAsia="Arial" w:hAnsi="Arial" w:cs="Arial"/>
        </w:rPr>
        <w:tab/>
      </w:r>
      <w:r>
        <w:rPr>
          <w:rFonts w:ascii="Arial" w:eastAsia="Arial" w:hAnsi="Arial" w:cs="Arial"/>
        </w:rPr>
        <w:t>Particular record keeping requirements for dealing in securities</w:t>
      </w:r>
      <w:bookmarkEnd w:id="15"/>
    </w:p>
    <w:p w14:paraId="6A7337D5" w14:textId="139B0477" w:rsidR="00D316FD" w:rsidRDefault="00D316FD" w:rsidP="000A149E">
      <w:pPr>
        <w:pStyle w:val="iLAWS301Paragraphunnumbered"/>
      </w:pPr>
      <w:r>
        <w:t xml:space="preserve">For the purposes of </w:t>
      </w:r>
      <w:r w:rsidR="00D17138">
        <w:t>Rule</w:t>
      </w:r>
      <w:r>
        <w:t xml:space="preserve"> 3(2)(b), an intermediary licensed or registered for dealing in securities shall, in relation to the businesses which constitute that regulated activity, keep, where applicable, such records as are sufficient to show separate particulars of all underwriting and sub-underwriting transactions entered into by it, including particulars showing the dates on which it entered into such transactions.</w:t>
      </w:r>
    </w:p>
    <w:p w14:paraId="2E835789" w14:textId="6B9AA754" w:rsidR="00572CCD" w:rsidRDefault="00572CCD" w:rsidP="00572CCD">
      <w:pPr>
        <w:pStyle w:val="iLAWS300Article"/>
        <w:rPr>
          <w:rFonts w:ascii="Arial" w:eastAsia="Arial" w:hAnsi="Arial" w:cs="Arial"/>
        </w:rPr>
      </w:pPr>
      <w:bookmarkStart w:id="16" w:name="_Toc148188524"/>
      <w:r>
        <w:rPr>
          <w:rFonts w:ascii="Arial" w:eastAsia="Arial" w:hAnsi="Arial" w:cs="Arial"/>
        </w:rPr>
        <w:t>6</w:t>
      </w:r>
      <w:r w:rsidRPr="00441EF3">
        <w:rPr>
          <w:rFonts w:ascii="Arial" w:eastAsia="Arial" w:hAnsi="Arial" w:cs="Arial"/>
        </w:rPr>
        <w:tab/>
      </w:r>
      <w:r>
        <w:rPr>
          <w:rFonts w:ascii="Arial" w:eastAsia="Arial" w:hAnsi="Arial" w:cs="Arial"/>
        </w:rPr>
        <w:t>Particular record keeping requirements for leveraged foreign exchange trading</w:t>
      </w:r>
      <w:bookmarkEnd w:id="16"/>
    </w:p>
    <w:p w14:paraId="743049D8" w14:textId="776FE9CA" w:rsidR="00D316FD" w:rsidRDefault="00D316FD" w:rsidP="00572CCD">
      <w:pPr>
        <w:pStyle w:val="iLAWS301Paragraphunnumbered"/>
      </w:pPr>
      <w:r>
        <w:t xml:space="preserve">For the purposes of </w:t>
      </w:r>
      <w:r w:rsidR="00D17138">
        <w:t>Rule</w:t>
      </w:r>
      <w:r>
        <w:t xml:space="preserve"> 3(2)(b), </w:t>
      </w:r>
      <w:r w:rsidR="000B5E63">
        <w:t xml:space="preserve">a </w:t>
      </w:r>
      <w:r w:rsidR="000B5E63" w:rsidRPr="006D4833">
        <w:t xml:space="preserve">licensee licensed for </w:t>
      </w:r>
      <w:r w:rsidRPr="006D4833">
        <w:t>foreign exchange</w:t>
      </w:r>
      <w:r>
        <w:t xml:space="preserve"> trading shall, in relation to the businesses which constitute that regulated activity, keep, where applicable, such records as are sufficient to show—</w:t>
      </w:r>
    </w:p>
    <w:p w14:paraId="7B8DC9AB" w14:textId="77777777" w:rsidR="00D316FD" w:rsidRDefault="00D316FD" w:rsidP="00572CCD">
      <w:pPr>
        <w:pStyle w:val="iLAWS301Paragraphunnumbered"/>
        <w:ind w:left="1134" w:hanging="567"/>
      </w:pPr>
      <w:r>
        <w:lastRenderedPageBreak/>
        <w:t>(a)</w:t>
      </w:r>
      <w:r>
        <w:tab/>
        <w:t>in relation to each recognized counterparty with which it conducts any transaction in leveraged foreign exchange contracts, particulars sufficient to establish that the recognized counterparty is a recognized counterparty; and</w:t>
      </w:r>
    </w:p>
    <w:p w14:paraId="097E9C09" w14:textId="77777777" w:rsidR="00D316FD" w:rsidRDefault="00D316FD" w:rsidP="00572CCD">
      <w:pPr>
        <w:pStyle w:val="iLAWS301Paragraphunnumbered"/>
        <w:ind w:left="1134" w:hanging="567"/>
      </w:pPr>
      <w:r>
        <w:t>(b)</w:t>
      </w:r>
      <w:r>
        <w:tab/>
        <w:t>for each business day—</w:t>
      </w:r>
    </w:p>
    <w:p w14:paraId="5934C2EF" w14:textId="77777777" w:rsidR="00D316FD" w:rsidRDefault="00D316FD" w:rsidP="00572CCD">
      <w:pPr>
        <w:pStyle w:val="iLAWS301Paragraphunnumbered"/>
        <w:ind w:left="1701" w:hanging="567"/>
      </w:pPr>
      <w:r>
        <w:t>(i)</w:t>
      </w:r>
      <w:r>
        <w:tab/>
        <w:t>the market value of each open position held at the end of that day for its own account and the accounts of each of its clients and recognized counterparties;</w:t>
      </w:r>
    </w:p>
    <w:p w14:paraId="3E81AAE8" w14:textId="77777777" w:rsidR="00D316FD" w:rsidRDefault="00D316FD" w:rsidP="00572CCD">
      <w:pPr>
        <w:pStyle w:val="iLAWS301Paragraphunnumbered"/>
        <w:ind w:left="1701" w:hanging="567"/>
      </w:pPr>
      <w:r>
        <w:t>(ii)</w:t>
      </w:r>
      <w:r>
        <w:tab/>
        <w:t>for each leveraged foreign exchange contract executed by it—</w:t>
      </w:r>
    </w:p>
    <w:p w14:paraId="0F8665D1" w14:textId="77777777" w:rsidR="00D316FD" w:rsidRDefault="00D316FD" w:rsidP="00572CCD">
      <w:pPr>
        <w:pStyle w:val="iLAWS301Paragraphunnumbered"/>
        <w:ind w:firstLine="1134"/>
      </w:pPr>
      <w:r>
        <w:t>(A)</w:t>
      </w:r>
      <w:r>
        <w:tab/>
        <w:t>the bid and offer prices quoted by it to the client;</w:t>
      </w:r>
    </w:p>
    <w:p w14:paraId="31FCCD1B" w14:textId="77777777" w:rsidR="00D316FD" w:rsidRDefault="00D316FD" w:rsidP="00572CCD">
      <w:pPr>
        <w:pStyle w:val="iLAWS301Paragraphunnumbered"/>
        <w:ind w:firstLine="1134"/>
      </w:pPr>
      <w:r>
        <w:t>(B)</w:t>
      </w:r>
      <w:r>
        <w:tab/>
        <w:t>the price at which the contract is executed; and</w:t>
      </w:r>
    </w:p>
    <w:p w14:paraId="4A5557E7" w14:textId="77777777" w:rsidR="00D316FD" w:rsidRDefault="00D316FD" w:rsidP="00572CCD">
      <w:pPr>
        <w:pStyle w:val="iLAWS301Paragraphunnumbered"/>
        <w:ind w:left="2127" w:hanging="426"/>
      </w:pPr>
      <w:r>
        <w:t>(C)</w:t>
      </w:r>
      <w:r>
        <w:tab/>
        <w:t>the bid and offer prices at the time of execution of the contract as quoted and disseminated to the public, or to subscribers, by a reputable financial information services organization; and</w:t>
      </w:r>
    </w:p>
    <w:p w14:paraId="471A239E" w14:textId="77777777" w:rsidR="00D316FD" w:rsidRDefault="00D316FD" w:rsidP="00572CCD">
      <w:pPr>
        <w:pStyle w:val="iLAWS301Paragraphunnumbered"/>
        <w:ind w:left="1701" w:hanging="708"/>
      </w:pPr>
      <w:r>
        <w:t>(iii)</w:t>
      </w:r>
      <w:r>
        <w:tab/>
        <w:t>the interest rate differentials which are charged or paid by it for being long or short, one currency against another.</w:t>
      </w:r>
    </w:p>
    <w:p w14:paraId="50D5310D" w14:textId="10B745E0" w:rsidR="00D316FD" w:rsidRDefault="00A60FC3" w:rsidP="00CC1FA8">
      <w:pPr>
        <w:pStyle w:val="iLAWS300Article"/>
      </w:pPr>
      <w:bookmarkStart w:id="17" w:name="_Toc148188525"/>
      <w:r>
        <w:rPr>
          <w:rFonts w:ascii="Arial" w:eastAsia="Arial" w:hAnsi="Arial" w:cs="Arial"/>
        </w:rPr>
        <w:t>7</w:t>
      </w:r>
      <w:r w:rsidR="00CC1FA8" w:rsidRPr="00441EF3">
        <w:rPr>
          <w:rFonts w:ascii="Arial" w:eastAsia="Arial" w:hAnsi="Arial" w:cs="Arial"/>
        </w:rPr>
        <w:tab/>
      </w:r>
      <w:r w:rsidR="00CC1FA8">
        <w:rPr>
          <w:rFonts w:ascii="Arial" w:eastAsia="Arial" w:hAnsi="Arial" w:cs="Arial"/>
        </w:rPr>
        <w:t xml:space="preserve">Particular record keeping requirements for providing </w:t>
      </w:r>
      <w:r w:rsidR="00173915">
        <w:rPr>
          <w:rFonts w:ascii="Arial" w:eastAsia="Arial" w:hAnsi="Arial" w:cs="Arial"/>
        </w:rPr>
        <w:t>securities margin finan</w:t>
      </w:r>
      <w:r w:rsidR="00FE2161">
        <w:rPr>
          <w:rFonts w:ascii="Arial" w:eastAsia="Arial" w:hAnsi="Arial" w:cs="Arial"/>
        </w:rPr>
        <w:t>c</w:t>
      </w:r>
      <w:r w:rsidR="00173915">
        <w:rPr>
          <w:rFonts w:ascii="Arial" w:eastAsia="Arial" w:hAnsi="Arial" w:cs="Arial"/>
        </w:rPr>
        <w:t>ing or other financial accommodation and entering into margined contracts</w:t>
      </w:r>
      <w:bookmarkEnd w:id="17"/>
    </w:p>
    <w:p w14:paraId="1DC79299" w14:textId="4EBE4777" w:rsidR="00D316FD" w:rsidRDefault="00D316FD" w:rsidP="00FE2161">
      <w:pPr>
        <w:pStyle w:val="iLAWS301Paragraphunnumbered"/>
        <w:tabs>
          <w:tab w:val="left" w:pos="1134"/>
        </w:tabs>
      </w:pPr>
      <w:r>
        <w:t>(1)</w:t>
      </w:r>
      <w:r>
        <w:tab/>
        <w:t xml:space="preserve">This </w:t>
      </w:r>
      <w:r w:rsidR="00D17138">
        <w:t xml:space="preserve">Rule </w:t>
      </w:r>
      <w:r>
        <w:t>applies to the following intermediaries—</w:t>
      </w:r>
    </w:p>
    <w:p w14:paraId="0C4FA704" w14:textId="77777777" w:rsidR="00D316FD" w:rsidRDefault="00D316FD" w:rsidP="00FE2161">
      <w:pPr>
        <w:pStyle w:val="iLAWS301Paragraphunnumbered"/>
        <w:tabs>
          <w:tab w:val="left" w:pos="1134"/>
        </w:tabs>
        <w:ind w:left="1701" w:hanging="567"/>
      </w:pPr>
      <w:r>
        <w:t>(a)</w:t>
      </w:r>
      <w:r>
        <w:tab/>
        <w:t>a licensed corporation licensed for securities margin financing;</w:t>
      </w:r>
    </w:p>
    <w:p w14:paraId="66C6F71A" w14:textId="77777777" w:rsidR="00D316FD" w:rsidRDefault="00D316FD" w:rsidP="00FE2161">
      <w:pPr>
        <w:pStyle w:val="iLAWS301Paragraphunnumbered"/>
        <w:ind w:left="1701" w:hanging="567"/>
      </w:pPr>
      <w:r>
        <w:t>(b)</w:t>
      </w:r>
      <w:r>
        <w:tab/>
        <w:t>an intermediary which provides to its clients financial accommodation other than securities margin financing; and</w:t>
      </w:r>
    </w:p>
    <w:p w14:paraId="7A02988D" w14:textId="77777777" w:rsidR="00D316FD" w:rsidRDefault="00D316FD" w:rsidP="00FE2161">
      <w:pPr>
        <w:pStyle w:val="iLAWS301Paragraphunnumbered"/>
        <w:ind w:left="1701" w:hanging="567"/>
      </w:pPr>
      <w:r>
        <w:t>(c)</w:t>
      </w:r>
      <w:r>
        <w:tab/>
        <w:t>an intermediary which enters into margined transactions.</w:t>
      </w:r>
    </w:p>
    <w:p w14:paraId="50A35FF1" w14:textId="4018D047" w:rsidR="00D316FD" w:rsidRDefault="00D316FD" w:rsidP="00FE2161">
      <w:pPr>
        <w:pStyle w:val="iLAWS301Paragraphunnumbered"/>
        <w:ind w:left="1134" w:hanging="567"/>
      </w:pPr>
      <w:r>
        <w:t>(2)</w:t>
      </w:r>
      <w:r>
        <w:tab/>
        <w:t xml:space="preserve">For the purposes of </w:t>
      </w:r>
      <w:r w:rsidR="005A77A3">
        <w:t>Rule</w:t>
      </w:r>
      <w:r>
        <w:t xml:space="preserve"> 3(2)(b), an intermediary to which this section applies shall, in relation to its activities as referred to in subsection (1), keep, where applicable, such records as are sufficient to show—</w:t>
      </w:r>
    </w:p>
    <w:p w14:paraId="26A4912B" w14:textId="77777777" w:rsidR="00D316FD" w:rsidRDefault="00D316FD" w:rsidP="009C5636">
      <w:pPr>
        <w:pStyle w:val="iLAWS301Paragraphunnumbered"/>
        <w:ind w:left="1701" w:hanging="567"/>
      </w:pPr>
      <w:r>
        <w:t>(a)</w:t>
      </w:r>
      <w:r>
        <w:tab/>
        <w:t>its margin policy and lending policy;</w:t>
      </w:r>
    </w:p>
    <w:p w14:paraId="7AEA2723" w14:textId="123E9805" w:rsidR="00D316FD" w:rsidRDefault="00D316FD" w:rsidP="009C5636">
      <w:pPr>
        <w:pStyle w:val="iLAWS301Paragraphunnumbered"/>
        <w:ind w:left="1701" w:hanging="567"/>
      </w:pPr>
      <w:r>
        <w:t>(b)</w:t>
      </w:r>
      <w:r>
        <w:tab/>
        <w:t>all securities and client collateral deposited with another person under an arrangement that confers on it a collateral interest in the securities or client collateral;</w:t>
      </w:r>
    </w:p>
    <w:p w14:paraId="03EC6AF8" w14:textId="77777777" w:rsidR="00D316FD" w:rsidRDefault="00D316FD" w:rsidP="009C5636">
      <w:pPr>
        <w:pStyle w:val="iLAWS301Paragraphunnumbered"/>
        <w:ind w:left="1701" w:hanging="567"/>
      </w:pPr>
      <w:r>
        <w:t>(c)</w:t>
      </w:r>
      <w:r>
        <w:tab/>
        <w:t>with whom and on whose behalf the securities or client collateral referred to in paragraph (b) are deposited, showing separately the quantity and market value of—</w:t>
      </w:r>
    </w:p>
    <w:p w14:paraId="1FD06C4F" w14:textId="77777777" w:rsidR="00D316FD" w:rsidRDefault="00D316FD" w:rsidP="009C5636">
      <w:pPr>
        <w:pStyle w:val="iLAWS301Paragraphunnumbered"/>
        <w:ind w:left="2268" w:hanging="567"/>
      </w:pPr>
      <w:r>
        <w:t>(i)</w:t>
      </w:r>
      <w:r>
        <w:tab/>
        <w:t>securities deposited for safe custody; and</w:t>
      </w:r>
    </w:p>
    <w:p w14:paraId="19D7DFBA" w14:textId="77777777" w:rsidR="00D316FD" w:rsidRDefault="00D316FD" w:rsidP="009C5636">
      <w:pPr>
        <w:pStyle w:val="iLAWS301Paragraphunnumbered"/>
        <w:ind w:left="2268" w:hanging="567"/>
      </w:pPr>
      <w:r>
        <w:t>(ii)</w:t>
      </w:r>
      <w:r>
        <w:tab/>
        <w:t>securities and client collateral deposited as security for, or to facilitate, the provision by it of securities margin financing or other financial accommodation (as the case may be), or the entering into by it of margined transactions; and</w:t>
      </w:r>
    </w:p>
    <w:p w14:paraId="09AEB1EC" w14:textId="77777777" w:rsidR="00D316FD" w:rsidRDefault="00D316FD" w:rsidP="009C5636">
      <w:pPr>
        <w:pStyle w:val="iLAWS301Paragraphunnumbered"/>
        <w:ind w:left="1701" w:hanging="567"/>
      </w:pPr>
      <w:r>
        <w:t>(d)</w:t>
      </w:r>
      <w:r>
        <w:tab/>
        <w:t>particulars of clients to whom it provides securities margin financing or other financial accommodation (as the case may be) or with whom or on whose behalf it enters into margined transactions, including particulars in respect of each client showing—</w:t>
      </w:r>
    </w:p>
    <w:p w14:paraId="0DEC6BED" w14:textId="77777777" w:rsidR="00D316FD" w:rsidRDefault="00D316FD" w:rsidP="009C5636">
      <w:pPr>
        <w:pStyle w:val="iLAWS301Paragraphunnumbered"/>
        <w:ind w:left="2268" w:hanging="567"/>
      </w:pPr>
      <w:r>
        <w:t>(i)</w:t>
      </w:r>
      <w:r>
        <w:tab/>
        <w:t xml:space="preserve">the market value and margin value of each </w:t>
      </w:r>
    </w:p>
    <w:p w14:paraId="41F5179F" w14:textId="77777777" w:rsidR="00D316FD" w:rsidRDefault="00D316FD" w:rsidP="009C5636">
      <w:pPr>
        <w:pStyle w:val="iLAWS301Paragraphunnumbered"/>
        <w:ind w:left="2268"/>
      </w:pPr>
      <w:r>
        <w:t>description of securities collateral deposited with it;</w:t>
      </w:r>
    </w:p>
    <w:p w14:paraId="72981543" w14:textId="77777777" w:rsidR="00D316FD" w:rsidRDefault="00D316FD" w:rsidP="009C5636">
      <w:pPr>
        <w:pStyle w:val="iLAWS301Paragraphunnumbered"/>
        <w:ind w:left="2268" w:hanging="567"/>
      </w:pPr>
      <w:r>
        <w:t>(ii)</w:t>
      </w:r>
      <w:r>
        <w:tab/>
        <w:t>the aggregate of the market values of such securities collateral;</w:t>
      </w:r>
    </w:p>
    <w:p w14:paraId="4F7497C3" w14:textId="77777777" w:rsidR="00D316FD" w:rsidRDefault="00D316FD" w:rsidP="009C5636">
      <w:pPr>
        <w:pStyle w:val="iLAWS301Paragraphunnumbered"/>
        <w:ind w:left="2268" w:hanging="567"/>
      </w:pPr>
      <w:r>
        <w:t>(iii)</w:t>
      </w:r>
      <w:r>
        <w:tab/>
        <w:t xml:space="preserve">the aggregate of the margin values of such </w:t>
      </w:r>
    </w:p>
    <w:p w14:paraId="46EEE763" w14:textId="77777777" w:rsidR="00D316FD" w:rsidRDefault="00D316FD" w:rsidP="009C5636">
      <w:pPr>
        <w:pStyle w:val="iLAWS301Paragraphunnumbered"/>
        <w:ind w:left="2268"/>
      </w:pPr>
      <w:r>
        <w:t>securities collateral; and</w:t>
      </w:r>
    </w:p>
    <w:p w14:paraId="562F88BF" w14:textId="77777777" w:rsidR="00D316FD" w:rsidRDefault="00D316FD" w:rsidP="009C5636">
      <w:pPr>
        <w:pStyle w:val="iLAWS301Paragraphunnumbered"/>
        <w:ind w:left="2268" w:hanging="567"/>
      </w:pPr>
      <w:r>
        <w:t>(iv)</w:t>
      </w:r>
      <w:r>
        <w:tab/>
        <w:t>details of margin calls made.</w:t>
      </w:r>
    </w:p>
    <w:p w14:paraId="17FB9961" w14:textId="122D2F42" w:rsidR="00F2379C" w:rsidRDefault="002A7BDD" w:rsidP="00F2379C">
      <w:pPr>
        <w:pStyle w:val="iLAWS300Article"/>
      </w:pPr>
      <w:bookmarkStart w:id="18" w:name="_Toc148188526"/>
      <w:r>
        <w:rPr>
          <w:rFonts w:ascii="Arial" w:eastAsia="Arial" w:hAnsi="Arial" w:cs="Arial"/>
        </w:rPr>
        <w:lastRenderedPageBreak/>
        <w:t>8</w:t>
      </w:r>
      <w:r w:rsidR="00F2379C" w:rsidRPr="00441EF3">
        <w:rPr>
          <w:rFonts w:ascii="Arial" w:eastAsia="Arial" w:hAnsi="Arial" w:cs="Arial"/>
        </w:rPr>
        <w:tab/>
      </w:r>
      <w:r w:rsidR="00F2379C">
        <w:rPr>
          <w:rFonts w:ascii="Arial" w:eastAsia="Arial" w:hAnsi="Arial" w:cs="Arial"/>
        </w:rPr>
        <w:t>Particular record keeping requirements for asset m</w:t>
      </w:r>
      <w:r w:rsidR="00EB64B8">
        <w:rPr>
          <w:rFonts w:ascii="Arial" w:eastAsia="Arial" w:hAnsi="Arial" w:cs="Arial"/>
        </w:rPr>
        <w:t>anagement</w:t>
      </w:r>
      <w:bookmarkEnd w:id="18"/>
    </w:p>
    <w:p w14:paraId="77CFD2F2" w14:textId="6883D952" w:rsidR="00D316FD" w:rsidRDefault="00D316FD" w:rsidP="00D316FD">
      <w:pPr>
        <w:pStyle w:val="iLAWS301Paragraphunnumbered"/>
      </w:pPr>
      <w:r>
        <w:t xml:space="preserve">For the purposes of </w:t>
      </w:r>
      <w:r w:rsidR="005A77A3">
        <w:t>Rule 3</w:t>
      </w:r>
      <w:r>
        <w:t>(2)(b), an intermediary licensed or registered for asset management which holds client assets shall, in relation to the businesses which constitute that regulated activity, keep such records as are sufficient to show, in respect of each client for whom it holds client assets, particulars of the client’s assets and liabilities, including any financial commitments and contingent liabilities.</w:t>
      </w:r>
    </w:p>
    <w:p w14:paraId="4B50C148" w14:textId="77777777" w:rsidR="00946E41" w:rsidRDefault="00946E41" w:rsidP="00E9618A">
      <w:pPr>
        <w:pStyle w:val="Heading2"/>
        <w:jc w:val="center"/>
        <w:rPr>
          <w:rFonts w:ascii="Arial" w:hAnsi="Arial" w:cs="Arial"/>
          <w:b w:val="0"/>
        </w:rPr>
      </w:pPr>
    </w:p>
    <w:p w14:paraId="7A2BDDCD" w14:textId="112B75BE" w:rsidR="00E9618A" w:rsidRPr="008D51F8" w:rsidRDefault="00325328" w:rsidP="00E9618A">
      <w:pPr>
        <w:pStyle w:val="Heading2"/>
        <w:jc w:val="center"/>
        <w:rPr>
          <w:rFonts w:ascii="Arial" w:hAnsi="Arial" w:cs="Arial"/>
          <w:bCs/>
        </w:rPr>
      </w:pPr>
      <w:bookmarkStart w:id="19" w:name="_Toc148188527"/>
      <w:r w:rsidRPr="008D51F8">
        <w:rPr>
          <w:rFonts w:ascii="Arial" w:hAnsi="Arial" w:cs="Arial"/>
          <w:bCs/>
        </w:rPr>
        <w:t xml:space="preserve">PART </w:t>
      </w:r>
      <w:r w:rsidR="00E9618A" w:rsidRPr="008D51F8">
        <w:rPr>
          <w:rFonts w:ascii="Arial" w:hAnsi="Arial" w:cs="Arial"/>
          <w:bCs/>
        </w:rPr>
        <w:t>3</w:t>
      </w:r>
      <w:bookmarkEnd w:id="19"/>
    </w:p>
    <w:p w14:paraId="564B56A7" w14:textId="20E046DB" w:rsidR="00D316FD" w:rsidRDefault="00E9618A" w:rsidP="00354315">
      <w:pPr>
        <w:pStyle w:val="Heading2"/>
        <w:jc w:val="center"/>
      </w:pPr>
      <w:bookmarkStart w:id="20" w:name="_Toc148188528"/>
      <w:r w:rsidRPr="008D51F8">
        <w:rPr>
          <w:rFonts w:ascii="Arial" w:hAnsi="Arial" w:cs="Arial"/>
          <w:bCs/>
        </w:rPr>
        <w:t>MISC</w:t>
      </w:r>
      <w:r w:rsidR="00354315" w:rsidRPr="008D51F8">
        <w:rPr>
          <w:rFonts w:ascii="Arial" w:hAnsi="Arial" w:cs="Arial"/>
          <w:bCs/>
        </w:rPr>
        <w:t>ELLANEOUS</w:t>
      </w:r>
      <w:bookmarkEnd w:id="20"/>
    </w:p>
    <w:p w14:paraId="154EF9D0" w14:textId="12F47D2E" w:rsidR="00420DF1" w:rsidRDefault="00420DF1" w:rsidP="00420DF1">
      <w:pPr>
        <w:pStyle w:val="iLAWS300Article"/>
      </w:pPr>
      <w:bookmarkStart w:id="21" w:name="_Toc148188529"/>
      <w:bookmarkStart w:id="22" w:name="_Hlk148087277"/>
      <w:r>
        <w:rPr>
          <w:rFonts w:ascii="Arial" w:eastAsia="Arial" w:hAnsi="Arial" w:cs="Arial"/>
        </w:rPr>
        <w:t>9</w:t>
      </w:r>
      <w:r w:rsidRPr="00441EF3">
        <w:rPr>
          <w:rFonts w:ascii="Arial" w:eastAsia="Arial" w:hAnsi="Arial" w:cs="Arial"/>
        </w:rPr>
        <w:tab/>
      </w:r>
      <w:r>
        <w:rPr>
          <w:rFonts w:ascii="Arial" w:eastAsia="Arial" w:hAnsi="Arial" w:cs="Arial"/>
        </w:rPr>
        <w:t>Form in which records are to be kept</w:t>
      </w:r>
      <w:bookmarkEnd w:id="21"/>
    </w:p>
    <w:bookmarkEnd w:id="22"/>
    <w:p w14:paraId="75915110" w14:textId="72BEA95B" w:rsidR="00D316FD" w:rsidRDefault="00D316FD" w:rsidP="000F1A56">
      <w:pPr>
        <w:pStyle w:val="iLAWS301Paragraphunnumbered"/>
        <w:tabs>
          <w:tab w:val="left" w:pos="1134"/>
        </w:tabs>
        <w:ind w:left="1134" w:hanging="567"/>
      </w:pPr>
      <w:r>
        <w:t>(1)</w:t>
      </w:r>
      <w:r>
        <w:tab/>
        <w:t>An intermediary, or an associated entity of an intermediary, shall keep all records that it is required to keep under these Rules—</w:t>
      </w:r>
    </w:p>
    <w:p w14:paraId="62DFD8C8" w14:textId="17B13B25" w:rsidR="00D316FD" w:rsidRDefault="00D316FD" w:rsidP="000F1A56">
      <w:pPr>
        <w:pStyle w:val="iLAWS301Paragraphunnumbered"/>
        <w:ind w:left="1843" w:hanging="709"/>
      </w:pPr>
      <w:r>
        <w:t>(a)</w:t>
      </w:r>
      <w:r>
        <w:tab/>
        <w:t>in writing in the English language; or</w:t>
      </w:r>
    </w:p>
    <w:p w14:paraId="408C682B" w14:textId="4D39F7A1" w:rsidR="00D316FD" w:rsidRDefault="00D316FD" w:rsidP="000F1A56">
      <w:pPr>
        <w:pStyle w:val="iLAWS301Paragraphunnumbered"/>
        <w:ind w:left="1843" w:hanging="709"/>
      </w:pPr>
      <w:r>
        <w:t>(b)</w:t>
      </w:r>
      <w:r>
        <w:tab/>
        <w:t>in such a manner as to enable them to be readily accessible and readily convertible into written form in the English language.</w:t>
      </w:r>
    </w:p>
    <w:p w14:paraId="65850898" w14:textId="77777777" w:rsidR="00D316FD" w:rsidRDefault="00D316FD" w:rsidP="000F1A56">
      <w:pPr>
        <w:pStyle w:val="iLAWS301Paragraphunnumbered"/>
        <w:ind w:left="1134" w:hanging="567"/>
      </w:pPr>
      <w:r>
        <w:t>(2)</w:t>
      </w:r>
      <w:r>
        <w:tab/>
        <w:t>An intermediary, or an associated entity of an intermediary, shall adopt all reasonably necessary procedures to—</w:t>
      </w:r>
    </w:p>
    <w:p w14:paraId="3BA79A4B" w14:textId="77777777" w:rsidR="00D316FD" w:rsidRDefault="00D316FD" w:rsidP="000F1A56">
      <w:pPr>
        <w:pStyle w:val="iLAWS301Paragraphunnumbered"/>
        <w:ind w:left="1701" w:hanging="567"/>
      </w:pPr>
      <w:r>
        <w:t>(a)</w:t>
      </w:r>
      <w:r>
        <w:tab/>
        <w:t>guard against falsification of any of the records that it is required to keep under these Rules; and</w:t>
      </w:r>
    </w:p>
    <w:p w14:paraId="27D6F861" w14:textId="77777777" w:rsidR="00D316FD" w:rsidRDefault="00D316FD" w:rsidP="000F1A56">
      <w:pPr>
        <w:pStyle w:val="iLAWS301Paragraphunnumbered"/>
        <w:ind w:left="1701" w:hanging="567"/>
      </w:pPr>
      <w:r>
        <w:t>(b)</w:t>
      </w:r>
      <w:r>
        <w:tab/>
        <w:t>facilitate discovery of any such falsification.</w:t>
      </w:r>
    </w:p>
    <w:p w14:paraId="7D035F80" w14:textId="321D469D" w:rsidR="00D316FD" w:rsidRDefault="00D00D54" w:rsidP="00D00D54">
      <w:pPr>
        <w:pStyle w:val="iLAWS300Article"/>
      </w:pPr>
      <w:bookmarkStart w:id="23" w:name="_Toc148188530"/>
      <w:bookmarkStart w:id="24" w:name="_Hlk148087349"/>
      <w:r>
        <w:rPr>
          <w:rFonts w:ascii="Arial" w:eastAsia="Arial" w:hAnsi="Arial" w:cs="Arial"/>
        </w:rPr>
        <w:t>10</w:t>
      </w:r>
      <w:r w:rsidRPr="00441EF3">
        <w:rPr>
          <w:rFonts w:ascii="Arial" w:eastAsia="Arial" w:hAnsi="Arial" w:cs="Arial"/>
        </w:rPr>
        <w:tab/>
      </w:r>
      <w:r>
        <w:rPr>
          <w:rFonts w:ascii="Arial" w:eastAsia="Arial" w:hAnsi="Arial" w:cs="Arial"/>
        </w:rPr>
        <w:t>Record retention period</w:t>
      </w:r>
      <w:bookmarkEnd w:id="23"/>
    </w:p>
    <w:bookmarkEnd w:id="24"/>
    <w:p w14:paraId="0573AF89" w14:textId="09FA1734" w:rsidR="00D316FD" w:rsidRDefault="00D316FD" w:rsidP="00D316FD">
      <w:pPr>
        <w:pStyle w:val="iLAWS301Paragraphunnumbered"/>
      </w:pPr>
      <w:r>
        <w:t xml:space="preserve">Except as otherwise provided in the </w:t>
      </w:r>
      <w:r w:rsidR="008B0816">
        <w:t xml:space="preserve">Act (including </w:t>
      </w:r>
      <w:r>
        <w:t>any subsidiary legislation made under it), an intermediary, or an associated entity of an intermediary, shall retain—</w:t>
      </w:r>
    </w:p>
    <w:p w14:paraId="4221BBF7" w14:textId="77777777" w:rsidR="00D316FD" w:rsidRDefault="00D316FD" w:rsidP="00797261">
      <w:pPr>
        <w:pStyle w:val="iLAWS301Paragraphunnumbered"/>
        <w:ind w:left="1134" w:hanging="567"/>
      </w:pPr>
      <w:r>
        <w:t>(a)</w:t>
      </w:r>
      <w:r>
        <w:tab/>
        <w:t>subject to paragraph (b), the records that it is required to keep under these Rules, for a period of not less than 7 years; and</w:t>
      </w:r>
    </w:p>
    <w:p w14:paraId="2334B81E" w14:textId="4F4C4D49" w:rsidR="00D316FD" w:rsidRDefault="00D316FD" w:rsidP="00797261">
      <w:pPr>
        <w:pStyle w:val="iLAWS301Paragraphunnumbered"/>
        <w:ind w:left="1134" w:hanging="567"/>
      </w:pPr>
      <w:r>
        <w:t>(b)</w:t>
      </w:r>
      <w:r>
        <w:tab/>
        <w:t xml:space="preserve">in the case of records showing particulars of any of the orders and instructions referred to in </w:t>
      </w:r>
      <w:r w:rsidR="00350CA9">
        <w:t xml:space="preserve">paragraph </w:t>
      </w:r>
      <w:r>
        <w:t>1(d) of the Schedule, for a period of not less than 2 years.</w:t>
      </w:r>
    </w:p>
    <w:p w14:paraId="1E4F4AB1" w14:textId="3D2EE2F4" w:rsidR="00797261" w:rsidRDefault="00797261" w:rsidP="00797261">
      <w:pPr>
        <w:pStyle w:val="iLAWS300Article"/>
      </w:pPr>
      <w:bookmarkStart w:id="25" w:name="_Toc148188531"/>
      <w:r>
        <w:rPr>
          <w:rFonts w:ascii="Arial" w:eastAsia="Arial" w:hAnsi="Arial" w:cs="Arial"/>
        </w:rPr>
        <w:t>1</w:t>
      </w:r>
      <w:r w:rsidR="00531FF1">
        <w:rPr>
          <w:rFonts w:ascii="Arial" w:eastAsia="Arial" w:hAnsi="Arial" w:cs="Arial"/>
        </w:rPr>
        <w:t>1</w:t>
      </w:r>
      <w:r w:rsidRPr="00441EF3">
        <w:rPr>
          <w:rFonts w:ascii="Arial" w:eastAsia="Arial" w:hAnsi="Arial" w:cs="Arial"/>
        </w:rPr>
        <w:tab/>
      </w:r>
      <w:r>
        <w:rPr>
          <w:rFonts w:ascii="Arial" w:eastAsia="Arial" w:hAnsi="Arial" w:cs="Arial"/>
        </w:rPr>
        <w:t xml:space="preserve">Reporting </w:t>
      </w:r>
      <w:r w:rsidR="00531FF1">
        <w:rPr>
          <w:rFonts w:ascii="Arial" w:eastAsia="Arial" w:hAnsi="Arial" w:cs="Arial"/>
        </w:rPr>
        <w:t>of non-compliance with certain provisions of these Rules</w:t>
      </w:r>
      <w:bookmarkEnd w:id="25"/>
    </w:p>
    <w:p w14:paraId="23A736B6" w14:textId="77777777" w:rsidR="00D316FD" w:rsidRDefault="00D316FD" w:rsidP="00D316FD">
      <w:pPr>
        <w:pStyle w:val="iLAWS301Paragraphunnumbered"/>
      </w:pPr>
      <w:r>
        <w:t>If an intermediary, or an associated entity of an intermediary, becomes aware that it does not comply with any provision of Part 2 that applies to it, it shall, within one business day thereafter, give written notice of that fact to the Commission.</w:t>
      </w:r>
    </w:p>
    <w:p w14:paraId="60EAB856" w14:textId="1980C338" w:rsidR="00D316FD" w:rsidRDefault="00701528" w:rsidP="00701528">
      <w:pPr>
        <w:pStyle w:val="iLAWS300Article"/>
      </w:pPr>
      <w:bookmarkStart w:id="26" w:name="_Toc148188532"/>
      <w:r>
        <w:rPr>
          <w:rFonts w:ascii="Arial" w:eastAsia="Arial" w:hAnsi="Arial" w:cs="Arial"/>
        </w:rPr>
        <w:t>12</w:t>
      </w:r>
      <w:r w:rsidRPr="00441EF3">
        <w:rPr>
          <w:rFonts w:ascii="Arial" w:eastAsia="Arial" w:hAnsi="Arial" w:cs="Arial"/>
        </w:rPr>
        <w:tab/>
      </w:r>
      <w:r>
        <w:rPr>
          <w:rFonts w:ascii="Arial" w:eastAsia="Arial" w:hAnsi="Arial" w:cs="Arial"/>
        </w:rPr>
        <w:t>Penalties</w:t>
      </w:r>
      <w:bookmarkEnd w:id="26"/>
    </w:p>
    <w:p w14:paraId="27AE9B61" w14:textId="34C1C5EE" w:rsidR="00D316FD" w:rsidRDefault="00D316FD" w:rsidP="00701528">
      <w:pPr>
        <w:pStyle w:val="iLAWS301Paragraphunnumbered"/>
        <w:ind w:left="1134" w:hanging="567"/>
      </w:pPr>
      <w:r>
        <w:t>(1)</w:t>
      </w:r>
      <w:r>
        <w:tab/>
        <w:t xml:space="preserve">An intermediary, or an associated entity of an intermediary, which, without reasonable excuse, contravenes </w:t>
      </w:r>
      <w:r w:rsidR="005A77A3">
        <w:t xml:space="preserve">Rule </w:t>
      </w:r>
      <w:r>
        <w:t>3, 4, 9, 10 or 11, commits an offence and is liable on conviction to a fine at level 4.</w:t>
      </w:r>
    </w:p>
    <w:p w14:paraId="708B8D6F" w14:textId="77777777" w:rsidR="00D316FD" w:rsidRDefault="00D316FD" w:rsidP="00701528">
      <w:pPr>
        <w:pStyle w:val="iLAWS301Paragraphunnumbered"/>
        <w:ind w:left="1134" w:hanging="567"/>
      </w:pPr>
      <w:r>
        <w:t>(2)</w:t>
      </w:r>
      <w:r>
        <w:tab/>
        <w:t xml:space="preserve">An intermediary, or an associated entity of an intermediary, </w:t>
      </w:r>
    </w:p>
    <w:p w14:paraId="34BDDA2E" w14:textId="1E7585B7" w:rsidR="00D316FD" w:rsidRDefault="00D316FD" w:rsidP="00701528">
      <w:pPr>
        <w:pStyle w:val="iLAWS301Paragraphunnumbered"/>
        <w:ind w:left="1134"/>
      </w:pPr>
      <w:r>
        <w:t xml:space="preserve">which, with intent to defraud, contravenes </w:t>
      </w:r>
      <w:r w:rsidR="005A77A3">
        <w:t>Rule</w:t>
      </w:r>
      <w:r>
        <w:t xml:space="preserve"> 3, 4, 9, 10 or 11, commits an offence and is liable—</w:t>
      </w:r>
    </w:p>
    <w:p w14:paraId="7267DE1D" w14:textId="77777777" w:rsidR="00D316FD" w:rsidRDefault="00D316FD" w:rsidP="00701528">
      <w:pPr>
        <w:pStyle w:val="iLAWS301Paragraphunnumbered"/>
        <w:ind w:left="1701" w:hanging="567"/>
      </w:pPr>
      <w:r>
        <w:t>(a)</w:t>
      </w:r>
      <w:r>
        <w:tab/>
        <w:t>on conviction on indictment to a fine of $1,000,000 and to imprisonment for 7 years; or</w:t>
      </w:r>
    </w:p>
    <w:p w14:paraId="15C102B6" w14:textId="77777777" w:rsidR="00D316FD" w:rsidRDefault="00D316FD" w:rsidP="00701528">
      <w:pPr>
        <w:pStyle w:val="iLAWS301Paragraphunnumbered"/>
        <w:ind w:left="1701" w:hanging="567"/>
      </w:pPr>
      <w:r>
        <w:t>(b)</w:t>
      </w:r>
      <w:r>
        <w:tab/>
        <w:t>on summary conviction to a fine of $500,000 and to imprisonment for 1 year.</w:t>
      </w:r>
    </w:p>
    <w:p w14:paraId="078D99A2" w14:textId="042A6178" w:rsidR="00701528" w:rsidRPr="0067067C" w:rsidRDefault="00701528" w:rsidP="00701528">
      <w:pPr>
        <w:pStyle w:val="iLAWS300Article"/>
        <w:rPr>
          <w:rFonts w:ascii="Arial" w:eastAsia="Arial" w:hAnsi="Arial" w:cs="Arial"/>
        </w:rPr>
      </w:pPr>
      <w:bookmarkStart w:id="27" w:name="_Toc136474878"/>
      <w:bookmarkStart w:id="28" w:name="_Toc148188533"/>
      <w:r>
        <w:lastRenderedPageBreak/>
        <w:t>13</w:t>
      </w:r>
      <w:r w:rsidRPr="0067067C">
        <w:rPr>
          <w:rFonts w:ascii="Arial" w:eastAsia="Arial" w:hAnsi="Arial" w:cs="Arial"/>
        </w:rPr>
        <w:tab/>
        <w:t>Commencement</w:t>
      </w:r>
      <w:bookmarkEnd w:id="27"/>
      <w:bookmarkEnd w:id="28"/>
    </w:p>
    <w:p w14:paraId="2891C37B" w14:textId="5E4B9A1E" w:rsidR="00D316FD" w:rsidRDefault="00701528" w:rsidP="008D51F8">
      <w:pPr>
        <w:pStyle w:val="iLAWS301Paragraphunnumbered"/>
        <w:rPr>
          <w:rFonts w:eastAsia="Arial"/>
        </w:rPr>
      </w:pPr>
      <w:bookmarkStart w:id="29" w:name="_Toc136474879"/>
      <w:r>
        <w:rPr>
          <w:rFonts w:eastAsia="Arial"/>
        </w:rPr>
        <w:t xml:space="preserve">These Rules come into force on [ </w:t>
      </w:r>
      <w:proofErr w:type="gramStart"/>
      <w:r>
        <w:rPr>
          <w:rFonts w:eastAsia="Arial"/>
        </w:rPr>
        <w:t xml:space="preserve">  ]</w:t>
      </w:r>
      <w:bookmarkEnd w:id="29"/>
      <w:proofErr w:type="gramEnd"/>
      <w:r>
        <w:rPr>
          <w:rFonts w:eastAsia="Arial"/>
        </w:rPr>
        <w:t>.</w:t>
      </w:r>
    </w:p>
    <w:p w14:paraId="750726EE" w14:textId="77777777" w:rsidR="00174322" w:rsidRDefault="00174322" w:rsidP="00174322">
      <w:pPr>
        <w:pStyle w:val="iLAWS301Paragraphunnumbered"/>
        <w:rPr>
          <w:rFonts w:eastAsia="Arial"/>
        </w:rPr>
      </w:pPr>
    </w:p>
    <w:p w14:paraId="2E6D7272" w14:textId="77777777" w:rsidR="00174322" w:rsidRPr="003B4D88" w:rsidRDefault="00174322" w:rsidP="00174322">
      <w:pPr>
        <w:spacing w:after="3" w:line="259" w:lineRule="auto"/>
        <w:ind w:left="10" w:right="615" w:hanging="10"/>
        <w:rPr>
          <w:rFonts w:eastAsia="Palatino Linotype"/>
          <w:kern w:val="2"/>
          <w14:ligatures w14:val="standardContextual"/>
        </w:rPr>
      </w:pPr>
      <w:r w:rsidRPr="003B4D88">
        <w:rPr>
          <w:rFonts w:eastAsia="Palatino Linotype"/>
          <w:kern w:val="2"/>
          <w14:ligatures w14:val="standardContextual"/>
        </w:rPr>
        <w:t>Made by the Financial Services Commission on [*]</w:t>
      </w:r>
    </w:p>
    <w:p w14:paraId="678B7676" w14:textId="77777777" w:rsidR="00174322" w:rsidRDefault="00174322" w:rsidP="00701528">
      <w:pPr>
        <w:pStyle w:val="iLAWS301Paragraphunnumbered"/>
        <w:ind w:left="1701" w:hanging="567"/>
        <w:rPr>
          <w:rFonts w:eastAsia="Arial"/>
        </w:rPr>
      </w:pPr>
    </w:p>
    <w:p w14:paraId="0D38DE31" w14:textId="77777777" w:rsidR="00350CA9" w:rsidRDefault="00350CA9" w:rsidP="00701528">
      <w:pPr>
        <w:pStyle w:val="iLAWS301Paragraphunnumbered"/>
        <w:ind w:left="1701" w:hanging="567"/>
      </w:pPr>
    </w:p>
    <w:p w14:paraId="4B2CE538" w14:textId="77777777" w:rsidR="00E74E1E" w:rsidRDefault="00E74E1E" w:rsidP="00D316FD">
      <w:pPr>
        <w:pStyle w:val="iLAWS301Paragraphunnumbered"/>
      </w:pPr>
    </w:p>
    <w:p w14:paraId="7683001F" w14:textId="67FFD7D3" w:rsidR="00E74E1E" w:rsidRPr="004E0407" w:rsidRDefault="0058060D" w:rsidP="0058060D">
      <w:pPr>
        <w:pStyle w:val="Heading2"/>
        <w:jc w:val="center"/>
        <w:rPr>
          <w:rFonts w:ascii="Arial" w:hAnsi="Arial" w:cs="Arial"/>
          <w:bCs/>
        </w:rPr>
      </w:pPr>
      <w:bookmarkStart w:id="30" w:name="_Toc148188534"/>
      <w:r w:rsidRPr="004E0407">
        <w:rPr>
          <w:rFonts w:ascii="Arial" w:hAnsi="Arial" w:cs="Arial"/>
          <w:bCs/>
        </w:rPr>
        <w:t>Schedule</w:t>
      </w:r>
      <w:bookmarkEnd w:id="30"/>
    </w:p>
    <w:p w14:paraId="0891D2A9" w14:textId="41F1E24E" w:rsidR="00C95595" w:rsidRPr="00C95595" w:rsidRDefault="00C95595" w:rsidP="00C95595">
      <w:r>
        <w:tab/>
        <w:t>(</w:t>
      </w:r>
      <w:r w:rsidR="00956042">
        <w:t xml:space="preserve">Rule </w:t>
      </w:r>
      <w:r w:rsidR="0058060D">
        <w:t>2</w:t>
      </w:r>
      <w:r w:rsidR="00350CA9">
        <w:t>)</w:t>
      </w:r>
    </w:p>
    <w:p w14:paraId="1E955828" w14:textId="4DC083DB" w:rsidR="00E74E1E" w:rsidRDefault="00E74E1E" w:rsidP="00E82492">
      <w:pPr>
        <w:pStyle w:val="Heading2"/>
        <w:jc w:val="center"/>
      </w:pPr>
      <w:bookmarkStart w:id="31" w:name="_Toc148188535"/>
      <w:r>
        <w:rPr>
          <w:rFonts w:ascii="Arial" w:hAnsi="Arial" w:cs="Arial"/>
          <w:b w:val="0"/>
        </w:rPr>
        <w:t xml:space="preserve">Records Kept by Intermediaries </w:t>
      </w:r>
      <w:r w:rsidR="00E82492">
        <w:rPr>
          <w:rFonts w:ascii="Arial" w:hAnsi="Arial" w:cs="Arial"/>
          <w:b w:val="0"/>
        </w:rPr>
        <w:t xml:space="preserve">under </w:t>
      </w:r>
      <w:r w:rsidR="00304ED9">
        <w:rPr>
          <w:rFonts w:ascii="Arial" w:hAnsi="Arial" w:cs="Arial"/>
          <w:b w:val="0"/>
        </w:rPr>
        <w:t>Rule</w:t>
      </w:r>
      <w:r w:rsidR="00E82492">
        <w:rPr>
          <w:rFonts w:ascii="Arial" w:hAnsi="Arial" w:cs="Arial"/>
          <w:b w:val="0"/>
        </w:rPr>
        <w:t xml:space="preserve"> 3(2)(a)</w:t>
      </w:r>
      <w:bookmarkEnd w:id="31"/>
    </w:p>
    <w:p w14:paraId="2E6746CF" w14:textId="5D07A70C" w:rsidR="00D316FD" w:rsidRDefault="00D316FD" w:rsidP="008951E2">
      <w:pPr>
        <w:pStyle w:val="iLAWS301Paragraphunnumbered"/>
        <w:tabs>
          <w:tab w:val="left" w:pos="1134"/>
        </w:tabs>
      </w:pPr>
      <w:r>
        <w:t>1.</w:t>
      </w:r>
      <w:r>
        <w:tab/>
        <w:t>Records showing particulars of—</w:t>
      </w:r>
    </w:p>
    <w:p w14:paraId="4B142EC4" w14:textId="77777777" w:rsidR="00D316FD" w:rsidRDefault="00D316FD" w:rsidP="008951E2">
      <w:pPr>
        <w:pStyle w:val="iLAWS301Paragraphunnumbered"/>
        <w:ind w:left="1701" w:hanging="567"/>
      </w:pPr>
      <w:r>
        <w:t>(a)</w:t>
      </w:r>
      <w:r>
        <w:tab/>
        <w:t>all money—</w:t>
      </w:r>
    </w:p>
    <w:p w14:paraId="6052FE8D" w14:textId="77777777" w:rsidR="00D316FD" w:rsidRDefault="00D316FD" w:rsidP="008951E2">
      <w:pPr>
        <w:pStyle w:val="iLAWS301Paragraphunnumbered"/>
        <w:ind w:left="2268" w:hanging="567"/>
      </w:pPr>
      <w:r>
        <w:t>(i)</w:t>
      </w:r>
      <w:r>
        <w:tab/>
        <w:t>received by it, whether or not such money—</w:t>
      </w:r>
    </w:p>
    <w:p w14:paraId="6AFC4FE5" w14:textId="77777777" w:rsidR="00D316FD" w:rsidRDefault="00D316FD" w:rsidP="008951E2">
      <w:pPr>
        <w:pStyle w:val="iLAWS301Paragraphunnumbered"/>
        <w:ind w:firstLine="1701"/>
      </w:pPr>
      <w:r>
        <w:t>(A)</w:t>
      </w:r>
      <w:r>
        <w:tab/>
        <w:t>belongs to it; or</w:t>
      </w:r>
    </w:p>
    <w:p w14:paraId="6C91FAE0" w14:textId="77777777" w:rsidR="00D316FD" w:rsidRDefault="00D316FD" w:rsidP="008951E2">
      <w:pPr>
        <w:pStyle w:val="iLAWS301Paragraphunnumbered"/>
        <w:ind w:firstLine="1701"/>
      </w:pPr>
      <w:r>
        <w:t>(B)</w:t>
      </w:r>
      <w:r>
        <w:tab/>
        <w:t>is paid into accounts maintained by it or on its behalf; and</w:t>
      </w:r>
    </w:p>
    <w:p w14:paraId="375258CA" w14:textId="491F984D" w:rsidR="00D316FD" w:rsidRDefault="00D316FD" w:rsidP="008A7853">
      <w:pPr>
        <w:pStyle w:val="iLAWS301Paragraphunnumbered"/>
        <w:ind w:left="2268" w:hanging="567"/>
      </w:pPr>
      <w:r>
        <w:t>(ii)</w:t>
      </w:r>
      <w:r>
        <w:tab/>
        <w:t>disbursed by it;</w:t>
      </w:r>
    </w:p>
    <w:p w14:paraId="6D250922" w14:textId="77777777" w:rsidR="00D316FD" w:rsidRDefault="00D316FD" w:rsidP="008A7853">
      <w:pPr>
        <w:pStyle w:val="iLAWS301Paragraphunnumbered"/>
        <w:ind w:left="1701" w:hanging="567"/>
      </w:pPr>
      <w:r>
        <w:t>(b)</w:t>
      </w:r>
      <w:r>
        <w:tab/>
        <w:t>all income received by it, whether such income relates to charges made by it for the provision of services, commissions, brokerage, remuneration, interest or otherwise;</w:t>
      </w:r>
    </w:p>
    <w:p w14:paraId="40DC4FB1" w14:textId="77777777" w:rsidR="00D316FD" w:rsidRDefault="00D316FD" w:rsidP="008A7853">
      <w:pPr>
        <w:pStyle w:val="iLAWS301Paragraphunnumbered"/>
        <w:ind w:left="1701" w:hanging="567"/>
      </w:pPr>
      <w:r>
        <w:t>(c)</w:t>
      </w:r>
      <w:r>
        <w:tab/>
        <w:t>all expenses, commissions and interest incurred or paid by it;</w:t>
      </w:r>
    </w:p>
    <w:p w14:paraId="5EEA1A55" w14:textId="77777777" w:rsidR="00D316FD" w:rsidRDefault="00D316FD" w:rsidP="008A7853">
      <w:pPr>
        <w:pStyle w:val="iLAWS301Paragraphunnumbered"/>
        <w:ind w:left="1701" w:hanging="567"/>
      </w:pPr>
      <w:r>
        <w:t>(d)</w:t>
      </w:r>
      <w:r>
        <w:tab/>
        <w:t>all orders or instructions concerning securities, futures contracts or leveraged foreign exchange contracts that it receives or initiates, including particulars—</w:t>
      </w:r>
    </w:p>
    <w:p w14:paraId="56011155" w14:textId="77777777" w:rsidR="00D316FD" w:rsidRDefault="00D316FD" w:rsidP="00D126E2">
      <w:pPr>
        <w:pStyle w:val="iLAWS301Paragraphunnumbered"/>
        <w:ind w:left="2268" w:hanging="567"/>
      </w:pPr>
      <w:r>
        <w:t>(i)</w:t>
      </w:r>
      <w:r>
        <w:tab/>
        <w:t>of each transaction entered into by it or on its behalf to implement any such order or instruction;</w:t>
      </w:r>
    </w:p>
    <w:p w14:paraId="0202DDA6" w14:textId="77777777" w:rsidR="00D316FD" w:rsidRDefault="00D316FD" w:rsidP="00D126E2">
      <w:pPr>
        <w:pStyle w:val="iLAWS301Paragraphunnumbered"/>
        <w:ind w:left="2268" w:hanging="567"/>
      </w:pPr>
      <w:r>
        <w:t>(ii)</w:t>
      </w:r>
      <w:r>
        <w:tab/>
        <w:t>identifying with whom or for whose account it has entered into such transaction; and</w:t>
      </w:r>
    </w:p>
    <w:p w14:paraId="6D2AADE2" w14:textId="3CB58113" w:rsidR="00D316FD" w:rsidRDefault="00D316FD" w:rsidP="00CE3C7D">
      <w:pPr>
        <w:pStyle w:val="iLAWS301Paragraphunnumbered"/>
        <w:ind w:left="2268" w:hanging="567"/>
      </w:pPr>
      <w:r>
        <w:t>(iii)</w:t>
      </w:r>
      <w:r>
        <w:tab/>
        <w:t>that enable such transaction to be traced through its accounting, trading, settlement and stock holding systems;</w:t>
      </w:r>
    </w:p>
    <w:p w14:paraId="195DB06A" w14:textId="77777777" w:rsidR="00D316FD" w:rsidRDefault="00D316FD" w:rsidP="00CE3C7D">
      <w:pPr>
        <w:pStyle w:val="iLAWS301Paragraphunnumbered"/>
        <w:tabs>
          <w:tab w:val="left" w:pos="1701"/>
        </w:tabs>
        <w:ind w:left="1701" w:hanging="567"/>
      </w:pPr>
      <w:r>
        <w:t>(e)</w:t>
      </w:r>
      <w:r>
        <w:tab/>
        <w:t>all disposals of client securities or client collateral initiated by it, showing in the case of each disposal—</w:t>
      </w:r>
    </w:p>
    <w:p w14:paraId="3A4588FB" w14:textId="77777777" w:rsidR="00D316FD" w:rsidRDefault="00D316FD" w:rsidP="00CE3C7D">
      <w:pPr>
        <w:pStyle w:val="iLAWS301Paragraphunnumbered"/>
        <w:ind w:left="2268" w:hanging="567"/>
      </w:pPr>
      <w:r>
        <w:t>(i)</w:t>
      </w:r>
      <w:r>
        <w:tab/>
        <w:t>the name of the client;</w:t>
      </w:r>
    </w:p>
    <w:p w14:paraId="18A4E10C" w14:textId="77777777" w:rsidR="00D316FD" w:rsidRDefault="00D316FD" w:rsidP="00CE3C7D">
      <w:pPr>
        <w:pStyle w:val="iLAWS301Paragraphunnumbered"/>
        <w:ind w:left="2268" w:hanging="567"/>
      </w:pPr>
      <w:r>
        <w:t>(ii)</w:t>
      </w:r>
      <w:r>
        <w:tab/>
        <w:t>the date on which the disposal was effected;</w:t>
      </w:r>
    </w:p>
    <w:p w14:paraId="085A575D" w14:textId="77777777" w:rsidR="00D316FD" w:rsidRDefault="00D316FD" w:rsidP="00CE3C7D">
      <w:pPr>
        <w:pStyle w:val="iLAWS301Paragraphunnumbered"/>
        <w:ind w:left="2268" w:hanging="567"/>
      </w:pPr>
      <w:r>
        <w:t>(iii)</w:t>
      </w:r>
      <w:r>
        <w:tab/>
        <w:t>the name of the intermediary which effected the disposal;</w:t>
      </w:r>
    </w:p>
    <w:p w14:paraId="0CD641A3" w14:textId="77777777" w:rsidR="00D316FD" w:rsidRDefault="00D316FD" w:rsidP="00CE3C7D">
      <w:pPr>
        <w:pStyle w:val="iLAWS301Paragraphunnumbered"/>
        <w:ind w:left="2268" w:hanging="567"/>
      </w:pPr>
      <w:r>
        <w:t>(iv)</w:t>
      </w:r>
      <w:r>
        <w:tab/>
        <w:t>the charges incurred for effecting the disposal; and</w:t>
      </w:r>
    </w:p>
    <w:p w14:paraId="12A0BC32" w14:textId="77777777" w:rsidR="00D316FD" w:rsidRDefault="00D316FD" w:rsidP="00CE3C7D">
      <w:pPr>
        <w:pStyle w:val="iLAWS301Paragraphunnumbered"/>
        <w:ind w:left="2268" w:hanging="567"/>
      </w:pPr>
      <w:r>
        <w:t>(v)</w:t>
      </w:r>
      <w:r>
        <w:tab/>
        <w:t>the proceeds of the disposal and how such proceeds were dealt with;</w:t>
      </w:r>
    </w:p>
    <w:p w14:paraId="3B60838F" w14:textId="77777777" w:rsidR="00D316FD" w:rsidRDefault="00D316FD" w:rsidP="00CE3C7D">
      <w:pPr>
        <w:pStyle w:val="iLAWS301Paragraphunnumbered"/>
        <w:ind w:left="1701" w:hanging="567"/>
      </w:pPr>
      <w:r>
        <w:t>(f)</w:t>
      </w:r>
      <w:r>
        <w:tab/>
        <w:t>its assets and liabilities, including financial commitments and contingent liabilities;</w:t>
      </w:r>
    </w:p>
    <w:p w14:paraId="6CD65181" w14:textId="77777777" w:rsidR="00E4489D" w:rsidRDefault="00D316FD" w:rsidP="00CE3C7D">
      <w:pPr>
        <w:pStyle w:val="iLAWS301Paragraphunnumbered"/>
        <w:ind w:left="1701" w:hanging="567"/>
      </w:pPr>
      <w:r>
        <w:t>(g)</w:t>
      </w:r>
      <w:r>
        <w:tab/>
        <w:t xml:space="preserve">all securities belonging to it, identifying—  </w:t>
      </w:r>
      <w:r>
        <w:tab/>
      </w:r>
    </w:p>
    <w:p w14:paraId="00A3E40A" w14:textId="7501B207" w:rsidR="00D316FD" w:rsidRDefault="00D316FD" w:rsidP="00E4489D">
      <w:pPr>
        <w:pStyle w:val="iLAWS301Paragraphunnumbered"/>
        <w:ind w:left="1701" w:firstLine="459"/>
      </w:pPr>
      <w:r>
        <w:t>(i)</w:t>
      </w:r>
      <w:r>
        <w:tab/>
        <w:t>with whom such securities are deposited;</w:t>
      </w:r>
    </w:p>
    <w:p w14:paraId="2A6FF401" w14:textId="77777777" w:rsidR="00D316FD" w:rsidRDefault="00D316FD" w:rsidP="00CE3C7D">
      <w:pPr>
        <w:pStyle w:val="iLAWS301Paragraphunnumbered"/>
        <w:ind w:firstLine="1701"/>
      </w:pPr>
      <w:r>
        <w:t>(ii)</w:t>
      </w:r>
      <w:r>
        <w:tab/>
        <w:t>the date on which they became so deposited; and</w:t>
      </w:r>
    </w:p>
    <w:p w14:paraId="23F08FD3" w14:textId="49513D46" w:rsidR="00D316FD" w:rsidRDefault="00D316FD" w:rsidP="00CE3C7D">
      <w:pPr>
        <w:pStyle w:val="iLAWS301Paragraphunnumbered"/>
        <w:ind w:left="2268"/>
      </w:pPr>
      <w:r>
        <w:t>(iii)</w:t>
      </w:r>
      <w:r>
        <w:tab/>
        <w:t xml:space="preserve">whether they are held as security for loans or advances or for any other </w:t>
      </w:r>
      <w:r w:rsidR="00CE3C7D">
        <w:t>p</w:t>
      </w:r>
      <w:r>
        <w:t>urpose;</w:t>
      </w:r>
    </w:p>
    <w:p w14:paraId="5ECA5F3D" w14:textId="77777777" w:rsidR="00D316FD" w:rsidRDefault="00D316FD" w:rsidP="00CE3C7D">
      <w:pPr>
        <w:pStyle w:val="iLAWS301Paragraphunnumbered"/>
        <w:tabs>
          <w:tab w:val="left" w:pos="1134"/>
        </w:tabs>
        <w:ind w:left="1701" w:hanging="567"/>
      </w:pPr>
      <w:r>
        <w:t>(h)</w:t>
      </w:r>
      <w:r>
        <w:tab/>
        <w:t>all securities held by it but not belonging to it, identifying—</w:t>
      </w:r>
    </w:p>
    <w:p w14:paraId="14B49798" w14:textId="77777777" w:rsidR="00D316FD" w:rsidRDefault="00D316FD" w:rsidP="00CE3C7D">
      <w:pPr>
        <w:pStyle w:val="iLAWS301Paragraphunnumbered"/>
        <w:ind w:firstLine="1701"/>
      </w:pPr>
      <w:r>
        <w:t>(i)</w:t>
      </w:r>
      <w:r>
        <w:tab/>
        <w:t>for whom such securities are held and with whom they are deposited;</w:t>
      </w:r>
    </w:p>
    <w:p w14:paraId="6F2857B7" w14:textId="77777777" w:rsidR="00D316FD" w:rsidRDefault="00D316FD" w:rsidP="00CE3C7D">
      <w:pPr>
        <w:pStyle w:val="iLAWS301Paragraphunnumbered"/>
        <w:ind w:firstLine="1701"/>
      </w:pPr>
      <w:r>
        <w:t>(ii)</w:t>
      </w:r>
      <w:r>
        <w:tab/>
        <w:t>the date on which they became so deposited;</w:t>
      </w:r>
    </w:p>
    <w:p w14:paraId="79B9FBD7" w14:textId="77777777" w:rsidR="00D316FD" w:rsidRDefault="00D316FD" w:rsidP="00CE3C7D">
      <w:pPr>
        <w:pStyle w:val="iLAWS301Paragraphunnumbered"/>
        <w:ind w:firstLine="1701"/>
      </w:pPr>
      <w:r>
        <w:t>(iii)</w:t>
      </w:r>
      <w:r>
        <w:tab/>
        <w:t>securities which are deposited with another person for safe custody; and</w:t>
      </w:r>
    </w:p>
    <w:p w14:paraId="6EFF6AC0" w14:textId="77777777" w:rsidR="00D316FD" w:rsidRDefault="00D316FD" w:rsidP="00CE3C7D">
      <w:pPr>
        <w:pStyle w:val="iLAWS301Paragraphunnumbered"/>
        <w:ind w:left="2835" w:hanging="567"/>
      </w:pPr>
      <w:r>
        <w:lastRenderedPageBreak/>
        <w:t>(iv)</w:t>
      </w:r>
      <w:r>
        <w:tab/>
        <w:t>securities which are deposited with another person as security for loans or advances made to it or for any other purpose;</w:t>
      </w:r>
    </w:p>
    <w:p w14:paraId="7B3CE3D0" w14:textId="66F240B1" w:rsidR="00D316FD" w:rsidRDefault="00D316FD" w:rsidP="00CE3C7D">
      <w:pPr>
        <w:pStyle w:val="iLAWS301Paragraphunnumbered"/>
        <w:tabs>
          <w:tab w:val="left" w:pos="1701"/>
        </w:tabs>
        <w:ind w:left="1701" w:hanging="567"/>
      </w:pPr>
      <w:r>
        <w:t>(i)</w:t>
      </w:r>
      <w:r>
        <w:tab/>
        <w:t xml:space="preserve">all bank accounts held by it, including segregated accounts maintained </w:t>
      </w:r>
      <w:r w:rsidR="00D96F4B">
        <w:t>by it</w:t>
      </w:r>
      <w:r>
        <w:t>;</w:t>
      </w:r>
    </w:p>
    <w:p w14:paraId="69FCAB3B" w14:textId="77777777" w:rsidR="00D316FD" w:rsidRDefault="00D316FD" w:rsidP="00CE3C7D">
      <w:pPr>
        <w:pStyle w:val="iLAWS301Paragraphunnumbered"/>
        <w:tabs>
          <w:tab w:val="left" w:pos="1134"/>
        </w:tabs>
        <w:ind w:left="1701" w:hanging="567"/>
      </w:pPr>
      <w:r>
        <w:t>(j)</w:t>
      </w:r>
      <w:r>
        <w:tab/>
        <w:t>all other accounts held by it; and</w:t>
      </w:r>
    </w:p>
    <w:p w14:paraId="1D41DC43" w14:textId="77777777" w:rsidR="00D316FD" w:rsidRDefault="00D316FD" w:rsidP="00CE3C7D">
      <w:pPr>
        <w:pStyle w:val="iLAWS301Paragraphunnumbered"/>
        <w:tabs>
          <w:tab w:val="left" w:pos="1134"/>
        </w:tabs>
        <w:ind w:left="1701" w:hanging="567"/>
      </w:pPr>
      <w:r>
        <w:t>(k)</w:t>
      </w:r>
      <w:r>
        <w:tab/>
        <w:t>all off-balance sheet transactions or positions.</w:t>
      </w:r>
    </w:p>
    <w:p w14:paraId="64E80052" w14:textId="77777777" w:rsidR="00CE3C7D" w:rsidRDefault="00CE3C7D" w:rsidP="00D316FD">
      <w:pPr>
        <w:pStyle w:val="iLAWS301Paragraphunnumbered"/>
      </w:pPr>
    </w:p>
    <w:p w14:paraId="54911D69" w14:textId="416BF021" w:rsidR="00D316FD" w:rsidRDefault="00D316FD" w:rsidP="00D316FD">
      <w:pPr>
        <w:pStyle w:val="iLAWS301Paragraphunnumbered"/>
      </w:pPr>
      <w:r>
        <w:t>2.</w:t>
      </w:r>
      <w:r>
        <w:tab/>
        <w:t>Records of all contracts (including written agreements with clients) entered into by it.</w:t>
      </w:r>
    </w:p>
    <w:p w14:paraId="2840543B" w14:textId="77777777" w:rsidR="00D316FD" w:rsidRDefault="00D316FD" w:rsidP="00D316FD">
      <w:pPr>
        <w:pStyle w:val="iLAWS301Paragraphunnumbered"/>
      </w:pPr>
      <w:r>
        <w:t>3.</w:t>
      </w:r>
      <w:r>
        <w:tab/>
        <w:t>Records evidencing—</w:t>
      </w:r>
    </w:p>
    <w:p w14:paraId="46EC1F18" w14:textId="7CB5D5AA" w:rsidR="00D316FD" w:rsidRDefault="00D316FD" w:rsidP="00CE3C7D">
      <w:pPr>
        <w:pStyle w:val="iLAWS301Paragraphunnumbered"/>
        <w:ind w:left="2268" w:hanging="708"/>
      </w:pPr>
      <w:r>
        <w:t>(a)</w:t>
      </w:r>
      <w:r>
        <w:tab/>
        <w:t>any authority given to it by a client</w:t>
      </w:r>
      <w:r w:rsidR="00E71197">
        <w:t xml:space="preserve"> </w:t>
      </w:r>
      <w:r>
        <w:t>and any renewal of such authority; and</w:t>
      </w:r>
    </w:p>
    <w:p w14:paraId="6B71B661" w14:textId="4B80A793" w:rsidR="00D316FD" w:rsidRDefault="00D316FD" w:rsidP="00CE3C7D">
      <w:pPr>
        <w:pStyle w:val="iLAWS301Paragraphunnumbered"/>
        <w:ind w:left="2268" w:hanging="708"/>
      </w:pPr>
      <w:r>
        <w:t>(b)</w:t>
      </w:r>
      <w:r>
        <w:tab/>
        <w:t>any direction given to it by a client.</w:t>
      </w:r>
    </w:p>
    <w:p w14:paraId="22DE3A07" w14:textId="2A3DACEB" w:rsidR="00D316FD" w:rsidRDefault="00D316FD" w:rsidP="00D316FD">
      <w:pPr>
        <w:pStyle w:val="iLAWS301Paragraphunnumbered"/>
      </w:pPr>
      <w:r>
        <w:t>4.</w:t>
      </w:r>
      <w:r>
        <w:tab/>
        <w:t>In respect of a client who is a professional investor—</w:t>
      </w:r>
    </w:p>
    <w:p w14:paraId="4264D17F" w14:textId="77777777" w:rsidR="00D316FD" w:rsidRDefault="00D316FD" w:rsidP="00CE3C7D">
      <w:pPr>
        <w:pStyle w:val="iLAWS301Paragraphunnumbered"/>
        <w:ind w:left="2268" w:hanging="850"/>
      </w:pPr>
      <w:r>
        <w:t>(a)</w:t>
      </w:r>
      <w:r>
        <w:tab/>
        <w:t>records showing particulars sufficient to establish that the client is a professional investor; and</w:t>
      </w:r>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632"/>
      </w:tblGrid>
      <w:tr w:rsidR="00D42A50" w:rsidRPr="00A2553D" w14:paraId="277B7342" w14:textId="77777777" w:rsidTr="00290FDA">
        <w:tc>
          <w:tcPr>
            <w:tcW w:w="0" w:type="auto"/>
            <w:tcMar>
              <w:top w:w="149" w:type="dxa"/>
              <w:left w:w="20" w:type="dxa"/>
              <w:bottom w:w="5" w:type="dxa"/>
              <w:right w:w="20" w:type="dxa"/>
            </w:tcMar>
          </w:tcPr>
          <w:p w14:paraId="43E79CE9" w14:textId="2AAECD98" w:rsidR="00D42A50" w:rsidRPr="00A2553D" w:rsidRDefault="00D316FD" w:rsidP="00CE3C7D">
            <w:pPr>
              <w:spacing w:after="0" w:line="240" w:lineRule="auto"/>
              <w:ind w:left="2268" w:right="0" w:hanging="850"/>
              <w:rPr>
                <w:sz w:val="22"/>
                <w:szCs w:val="22"/>
              </w:rPr>
            </w:pPr>
            <w:r>
              <w:t>(b)</w:t>
            </w:r>
            <w:r>
              <w:tab/>
              <w:t>any notice given by it to the client or agreement by the client with it.</w:t>
            </w:r>
          </w:p>
        </w:tc>
      </w:tr>
    </w:tbl>
    <w:p w14:paraId="583E4C77" w14:textId="2D24C2A8" w:rsidR="00D92462" w:rsidRPr="00A2553D" w:rsidRDefault="00D92462" w:rsidP="00CE3C7D">
      <w:pPr>
        <w:spacing w:after="0" w:line="259" w:lineRule="auto"/>
        <w:ind w:left="2268" w:right="0" w:hanging="850"/>
        <w:jc w:val="left"/>
      </w:pPr>
    </w:p>
    <w:sectPr w:rsidR="00D92462" w:rsidRPr="00A2553D">
      <w:footerReference w:type="default" r:id="rId8"/>
      <w:pgSz w:w="11906" w:h="16841"/>
      <w:pgMar w:top="1135" w:right="1554" w:bottom="11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00DA" w14:textId="77777777" w:rsidR="00675BDC" w:rsidRDefault="00675BDC" w:rsidP="00BE1274">
      <w:pPr>
        <w:spacing w:after="0" w:line="240" w:lineRule="auto"/>
      </w:pPr>
      <w:r>
        <w:separator/>
      </w:r>
    </w:p>
  </w:endnote>
  <w:endnote w:type="continuationSeparator" w:id="0">
    <w:p w14:paraId="34A251BB" w14:textId="77777777" w:rsidR="00675BDC" w:rsidRDefault="00675BDC" w:rsidP="00B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80185"/>
      <w:docPartObj>
        <w:docPartGallery w:val="Page Numbers (Bottom of Page)"/>
        <w:docPartUnique/>
      </w:docPartObj>
    </w:sdtPr>
    <w:sdtEndPr>
      <w:rPr>
        <w:noProof/>
      </w:rPr>
    </w:sdtEndPr>
    <w:sdtContent>
      <w:p w14:paraId="603F9EDF" w14:textId="64B87716" w:rsidR="006D4833" w:rsidRDefault="006D4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FC59D" w14:textId="77777777" w:rsidR="006D4833" w:rsidRDefault="006D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CFB" w14:textId="77777777" w:rsidR="00675BDC" w:rsidRDefault="00675BDC" w:rsidP="00BE1274">
      <w:pPr>
        <w:spacing w:after="0" w:line="240" w:lineRule="auto"/>
      </w:pPr>
      <w:r>
        <w:separator/>
      </w:r>
    </w:p>
  </w:footnote>
  <w:footnote w:type="continuationSeparator" w:id="0">
    <w:p w14:paraId="4911AC52" w14:textId="77777777" w:rsidR="00675BDC" w:rsidRDefault="00675BDC" w:rsidP="00BE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C62"/>
    <w:multiLevelType w:val="hybridMultilevel"/>
    <w:tmpl w:val="DAF6AFA4"/>
    <w:lvl w:ilvl="0" w:tplc="B916F13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252BBF"/>
    <w:multiLevelType w:val="hybridMultilevel"/>
    <w:tmpl w:val="FCA60E70"/>
    <w:lvl w:ilvl="0" w:tplc="49F221E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61B27"/>
    <w:multiLevelType w:val="hybridMultilevel"/>
    <w:tmpl w:val="ABB03286"/>
    <w:lvl w:ilvl="0" w:tplc="1E3ADC0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AFF833FC">
      <w:start w:val="1"/>
      <w:numFmt w:val="lowerRoman"/>
      <w:lvlText w:val="(%4)"/>
      <w:lvlJc w:val="left"/>
      <w:pPr>
        <w:ind w:left="2880" w:hanging="360"/>
      </w:pPr>
      <w:rPr>
        <w:rFonts w:ascii="Times New Roman" w:eastAsia="Calibri"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A3328"/>
    <w:multiLevelType w:val="hybridMultilevel"/>
    <w:tmpl w:val="611CFEFA"/>
    <w:lvl w:ilvl="0" w:tplc="70E20DE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CF52582"/>
    <w:multiLevelType w:val="hybridMultilevel"/>
    <w:tmpl w:val="A08C9482"/>
    <w:lvl w:ilvl="0" w:tplc="70E20DE0">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2C3D42"/>
    <w:multiLevelType w:val="hybridMultilevel"/>
    <w:tmpl w:val="D70446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70E20DE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65544"/>
    <w:multiLevelType w:val="multilevel"/>
    <w:tmpl w:val="BFE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E6587"/>
    <w:multiLevelType w:val="hybridMultilevel"/>
    <w:tmpl w:val="A6D8371A"/>
    <w:lvl w:ilvl="0" w:tplc="CFE876D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E9B3568"/>
    <w:multiLevelType w:val="hybridMultilevel"/>
    <w:tmpl w:val="8376ACE2"/>
    <w:lvl w:ilvl="0" w:tplc="1E3ADC08">
      <w:start w:val="1"/>
      <w:numFmt w:val="lowerLetter"/>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4F0BF7"/>
    <w:multiLevelType w:val="hybridMultilevel"/>
    <w:tmpl w:val="0E1489E8"/>
    <w:lvl w:ilvl="0" w:tplc="509012A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37A4694"/>
    <w:multiLevelType w:val="hybridMultilevel"/>
    <w:tmpl w:val="E8C0B51A"/>
    <w:lvl w:ilvl="0" w:tplc="6616B5A0">
      <w:start w:val="1"/>
      <w:numFmt w:val="decimal"/>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EC1BE">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6512A">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C022C">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6CA2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2FFB8">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AAB90">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21DB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8891E">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1F4CD3"/>
    <w:multiLevelType w:val="hybridMultilevel"/>
    <w:tmpl w:val="F738C26A"/>
    <w:lvl w:ilvl="0" w:tplc="70E20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119DE"/>
    <w:multiLevelType w:val="multilevel"/>
    <w:tmpl w:val="233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972AE"/>
    <w:multiLevelType w:val="hybridMultilevel"/>
    <w:tmpl w:val="A4141782"/>
    <w:lvl w:ilvl="0" w:tplc="5B98533E">
      <w:start w:val="1"/>
      <w:numFmt w:val="decimal"/>
      <w:lvlText w:val="(%1)"/>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8C214">
      <w:start w:val="1"/>
      <w:numFmt w:val="lowerLetter"/>
      <w:lvlText w:val="(%2)"/>
      <w:lvlJc w:val="left"/>
      <w:pPr>
        <w:ind w:left="2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CB648">
      <w:start w:val="1"/>
      <w:numFmt w:val="lowerRoman"/>
      <w:lvlText w:val="%3"/>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CFCFC">
      <w:start w:val="1"/>
      <w:numFmt w:val="decimal"/>
      <w:lvlText w:val="%4"/>
      <w:lvlJc w:val="left"/>
      <w:pPr>
        <w:ind w:left="2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48DDC">
      <w:start w:val="1"/>
      <w:numFmt w:val="lowerLetter"/>
      <w:lvlText w:val="%5"/>
      <w:lvlJc w:val="left"/>
      <w:pPr>
        <w:ind w:left="3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0055A">
      <w:start w:val="1"/>
      <w:numFmt w:val="lowerRoman"/>
      <w:lvlText w:val="%6"/>
      <w:lvlJc w:val="left"/>
      <w:pPr>
        <w:ind w:left="3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8E2E46">
      <w:start w:val="1"/>
      <w:numFmt w:val="decimal"/>
      <w:lvlText w:val="%7"/>
      <w:lvlJc w:val="left"/>
      <w:pPr>
        <w:ind w:left="4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040072">
      <w:start w:val="1"/>
      <w:numFmt w:val="lowerLetter"/>
      <w:lvlText w:val="%8"/>
      <w:lvlJc w:val="left"/>
      <w:pPr>
        <w:ind w:left="5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0C880">
      <w:start w:val="1"/>
      <w:numFmt w:val="lowerRoman"/>
      <w:lvlText w:val="%9"/>
      <w:lvlJc w:val="left"/>
      <w:pPr>
        <w:ind w:left="6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852C6F"/>
    <w:multiLevelType w:val="hybridMultilevel"/>
    <w:tmpl w:val="12A2177E"/>
    <w:lvl w:ilvl="0" w:tplc="C2B2AA40">
      <w:start w:val="1"/>
      <w:numFmt w:val="lowerLetter"/>
      <w:lvlText w:val="(%1)"/>
      <w:lvlJc w:val="left"/>
      <w:pPr>
        <w:ind w:left="1435" w:hanging="360"/>
      </w:pPr>
      <w:rPr>
        <w:rFonts w:ascii="Times New Roman" w:eastAsia="Times New Roman" w:hAnsi="Times New Roman" w:cs="Times New Roman"/>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5" w15:restartNumberingAfterBreak="0">
    <w:nsid w:val="7166229F"/>
    <w:multiLevelType w:val="hybridMultilevel"/>
    <w:tmpl w:val="C1AA3B6A"/>
    <w:lvl w:ilvl="0" w:tplc="AC7A61E4">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40E2C">
      <w:start w:val="1"/>
      <w:numFmt w:val="lowerLetter"/>
      <w:lvlText w:val="(%2)"/>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839BC">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04864A">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88FE2">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5EAF5C">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AE432">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462DEC">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6691E">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8A39CA"/>
    <w:multiLevelType w:val="hybridMultilevel"/>
    <w:tmpl w:val="8C9A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817CEF"/>
    <w:multiLevelType w:val="hybridMultilevel"/>
    <w:tmpl w:val="48AEAF38"/>
    <w:lvl w:ilvl="0" w:tplc="645C80D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FC177E">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C5476">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F81E">
      <w:start w:val="1"/>
      <w:numFmt w:val="upperLetter"/>
      <w:lvlText w:val="(%4)"/>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6EA1E">
      <w:start w:val="1"/>
      <w:numFmt w:val="lowerLetter"/>
      <w:lvlText w:val="%5"/>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4AF7C">
      <w:start w:val="1"/>
      <w:numFmt w:val="lowerRoman"/>
      <w:lvlText w:val="%6"/>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266DE">
      <w:start w:val="1"/>
      <w:numFmt w:val="decimal"/>
      <w:lvlText w:val="%7"/>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2761E">
      <w:start w:val="1"/>
      <w:numFmt w:val="lowerLetter"/>
      <w:lvlText w:val="%8"/>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80CDAE">
      <w:start w:val="1"/>
      <w:numFmt w:val="lowerRoman"/>
      <w:lvlText w:val="%9"/>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18686291">
    <w:abstractNumId w:val="4"/>
  </w:num>
  <w:num w:numId="2" w16cid:durableId="2042388739">
    <w:abstractNumId w:val="17"/>
  </w:num>
  <w:num w:numId="3" w16cid:durableId="1305356905">
    <w:abstractNumId w:val="3"/>
  </w:num>
  <w:num w:numId="4" w16cid:durableId="1267155875">
    <w:abstractNumId w:val="7"/>
  </w:num>
  <w:num w:numId="5" w16cid:durableId="1726832922">
    <w:abstractNumId w:val="10"/>
  </w:num>
  <w:num w:numId="6" w16cid:durableId="1010792378">
    <w:abstractNumId w:val="8"/>
  </w:num>
  <w:num w:numId="7" w16cid:durableId="1302880792">
    <w:abstractNumId w:val="2"/>
  </w:num>
  <w:num w:numId="8" w16cid:durableId="1181050351">
    <w:abstractNumId w:val="15"/>
  </w:num>
  <w:num w:numId="9" w16cid:durableId="1670521081">
    <w:abstractNumId w:val="6"/>
  </w:num>
  <w:num w:numId="10" w16cid:durableId="1345597954">
    <w:abstractNumId w:val="12"/>
  </w:num>
  <w:num w:numId="11" w16cid:durableId="1744832461">
    <w:abstractNumId w:val="11"/>
  </w:num>
  <w:num w:numId="12" w16cid:durableId="1218123924">
    <w:abstractNumId w:val="5"/>
  </w:num>
  <w:num w:numId="13" w16cid:durableId="694161147">
    <w:abstractNumId w:val="0"/>
  </w:num>
  <w:num w:numId="14" w16cid:durableId="1346441747">
    <w:abstractNumId w:val="14"/>
  </w:num>
  <w:num w:numId="15" w16cid:durableId="1807118296">
    <w:abstractNumId w:val="16"/>
  </w:num>
  <w:num w:numId="16" w16cid:durableId="1787235791">
    <w:abstractNumId w:val="1"/>
  </w:num>
  <w:num w:numId="17" w16cid:durableId="2140955052">
    <w:abstractNumId w:val="13"/>
  </w:num>
  <w:num w:numId="18" w16cid:durableId="18868707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62"/>
    <w:rsid w:val="00001E30"/>
    <w:rsid w:val="00004492"/>
    <w:rsid w:val="00004FA4"/>
    <w:rsid w:val="000064C4"/>
    <w:rsid w:val="00006681"/>
    <w:rsid w:val="00012A4D"/>
    <w:rsid w:val="000156DD"/>
    <w:rsid w:val="00015ABE"/>
    <w:rsid w:val="00020F3C"/>
    <w:rsid w:val="000210E9"/>
    <w:rsid w:val="0002276F"/>
    <w:rsid w:val="00022AE9"/>
    <w:rsid w:val="00024E8C"/>
    <w:rsid w:val="00027030"/>
    <w:rsid w:val="00027D70"/>
    <w:rsid w:val="00030A4B"/>
    <w:rsid w:val="000325E0"/>
    <w:rsid w:val="00033864"/>
    <w:rsid w:val="0003435A"/>
    <w:rsid w:val="000359EE"/>
    <w:rsid w:val="00037052"/>
    <w:rsid w:val="00041216"/>
    <w:rsid w:val="000456FE"/>
    <w:rsid w:val="000472EC"/>
    <w:rsid w:val="000536F2"/>
    <w:rsid w:val="00054037"/>
    <w:rsid w:val="00056CD8"/>
    <w:rsid w:val="0006048B"/>
    <w:rsid w:val="000614AC"/>
    <w:rsid w:val="000645C9"/>
    <w:rsid w:val="00065394"/>
    <w:rsid w:val="0006539A"/>
    <w:rsid w:val="00074EAD"/>
    <w:rsid w:val="0008135C"/>
    <w:rsid w:val="000917EC"/>
    <w:rsid w:val="00092045"/>
    <w:rsid w:val="00095E77"/>
    <w:rsid w:val="000A0E0D"/>
    <w:rsid w:val="000A0FA4"/>
    <w:rsid w:val="000A10AF"/>
    <w:rsid w:val="000A149E"/>
    <w:rsid w:val="000A1628"/>
    <w:rsid w:val="000A23E2"/>
    <w:rsid w:val="000A67C5"/>
    <w:rsid w:val="000B072A"/>
    <w:rsid w:val="000B0E70"/>
    <w:rsid w:val="000B0FD9"/>
    <w:rsid w:val="000B3A3A"/>
    <w:rsid w:val="000B4DB6"/>
    <w:rsid w:val="000B5E63"/>
    <w:rsid w:val="000D0AA0"/>
    <w:rsid w:val="000D111D"/>
    <w:rsid w:val="000E007D"/>
    <w:rsid w:val="000E1764"/>
    <w:rsid w:val="000E2B40"/>
    <w:rsid w:val="000E6FA0"/>
    <w:rsid w:val="000F1A56"/>
    <w:rsid w:val="000F4879"/>
    <w:rsid w:val="000F6081"/>
    <w:rsid w:val="000F68FC"/>
    <w:rsid w:val="001008BB"/>
    <w:rsid w:val="00100DC2"/>
    <w:rsid w:val="001015E5"/>
    <w:rsid w:val="001015F8"/>
    <w:rsid w:val="001019A4"/>
    <w:rsid w:val="00102954"/>
    <w:rsid w:val="00105B61"/>
    <w:rsid w:val="00107698"/>
    <w:rsid w:val="00107A63"/>
    <w:rsid w:val="00107C22"/>
    <w:rsid w:val="00110F34"/>
    <w:rsid w:val="00112D87"/>
    <w:rsid w:val="00112E21"/>
    <w:rsid w:val="00113F0F"/>
    <w:rsid w:val="00114741"/>
    <w:rsid w:val="00121812"/>
    <w:rsid w:val="00124A1D"/>
    <w:rsid w:val="00132A6D"/>
    <w:rsid w:val="00133ED3"/>
    <w:rsid w:val="00133EEE"/>
    <w:rsid w:val="0013582B"/>
    <w:rsid w:val="001359D6"/>
    <w:rsid w:val="00136EEF"/>
    <w:rsid w:val="00137283"/>
    <w:rsid w:val="00140F94"/>
    <w:rsid w:val="0014230B"/>
    <w:rsid w:val="001544C6"/>
    <w:rsid w:val="00154F08"/>
    <w:rsid w:val="001551E0"/>
    <w:rsid w:val="00156105"/>
    <w:rsid w:val="001600DF"/>
    <w:rsid w:val="00160B6B"/>
    <w:rsid w:val="00161C87"/>
    <w:rsid w:val="0016485C"/>
    <w:rsid w:val="00165A27"/>
    <w:rsid w:val="001702F7"/>
    <w:rsid w:val="001718EA"/>
    <w:rsid w:val="00172D18"/>
    <w:rsid w:val="00173915"/>
    <w:rsid w:val="00174115"/>
    <w:rsid w:val="00174322"/>
    <w:rsid w:val="001760EA"/>
    <w:rsid w:val="0019136E"/>
    <w:rsid w:val="00191E86"/>
    <w:rsid w:val="001941A5"/>
    <w:rsid w:val="001951AE"/>
    <w:rsid w:val="00196E16"/>
    <w:rsid w:val="001A1D25"/>
    <w:rsid w:val="001A2B8F"/>
    <w:rsid w:val="001B14A2"/>
    <w:rsid w:val="001B14D5"/>
    <w:rsid w:val="001B1EB7"/>
    <w:rsid w:val="001B4842"/>
    <w:rsid w:val="001B7F60"/>
    <w:rsid w:val="001C1D2F"/>
    <w:rsid w:val="001C1F69"/>
    <w:rsid w:val="001C349F"/>
    <w:rsid w:val="001C3FE7"/>
    <w:rsid w:val="001C4A64"/>
    <w:rsid w:val="001C6953"/>
    <w:rsid w:val="001D0569"/>
    <w:rsid w:val="001D0B57"/>
    <w:rsid w:val="001D0CEE"/>
    <w:rsid w:val="001D1175"/>
    <w:rsid w:val="001D5905"/>
    <w:rsid w:val="001E062B"/>
    <w:rsid w:val="001E112F"/>
    <w:rsid w:val="001E218B"/>
    <w:rsid w:val="001E3EEF"/>
    <w:rsid w:val="001F0A1D"/>
    <w:rsid w:val="00200950"/>
    <w:rsid w:val="00202C81"/>
    <w:rsid w:val="00213D40"/>
    <w:rsid w:val="00215340"/>
    <w:rsid w:val="00225069"/>
    <w:rsid w:val="0022536E"/>
    <w:rsid w:val="0022669A"/>
    <w:rsid w:val="00233FAB"/>
    <w:rsid w:val="00236B81"/>
    <w:rsid w:val="002401F7"/>
    <w:rsid w:val="00240659"/>
    <w:rsid w:val="00241D47"/>
    <w:rsid w:val="0024238F"/>
    <w:rsid w:val="002437FB"/>
    <w:rsid w:val="00243ABB"/>
    <w:rsid w:val="00251624"/>
    <w:rsid w:val="0025189A"/>
    <w:rsid w:val="00251AE7"/>
    <w:rsid w:val="0025245E"/>
    <w:rsid w:val="00255445"/>
    <w:rsid w:val="00256A13"/>
    <w:rsid w:val="00256EC3"/>
    <w:rsid w:val="00263FD9"/>
    <w:rsid w:val="00264592"/>
    <w:rsid w:val="00264EBD"/>
    <w:rsid w:val="00265B3F"/>
    <w:rsid w:val="00266910"/>
    <w:rsid w:val="00266C91"/>
    <w:rsid w:val="002754FF"/>
    <w:rsid w:val="0028049C"/>
    <w:rsid w:val="002871A4"/>
    <w:rsid w:val="00290353"/>
    <w:rsid w:val="0029133B"/>
    <w:rsid w:val="00292068"/>
    <w:rsid w:val="00292EC6"/>
    <w:rsid w:val="002949F2"/>
    <w:rsid w:val="002A1357"/>
    <w:rsid w:val="002A3CFB"/>
    <w:rsid w:val="002A5DFC"/>
    <w:rsid w:val="002A6298"/>
    <w:rsid w:val="002A7BDD"/>
    <w:rsid w:val="002B5D1F"/>
    <w:rsid w:val="002B6CE0"/>
    <w:rsid w:val="002C3741"/>
    <w:rsid w:val="002C4387"/>
    <w:rsid w:val="002C7BBF"/>
    <w:rsid w:val="002D0489"/>
    <w:rsid w:val="002D3373"/>
    <w:rsid w:val="002D731B"/>
    <w:rsid w:val="002D7ACA"/>
    <w:rsid w:val="002E013E"/>
    <w:rsid w:val="002E421D"/>
    <w:rsid w:val="002E5763"/>
    <w:rsid w:val="002F029D"/>
    <w:rsid w:val="002F1407"/>
    <w:rsid w:val="0030117E"/>
    <w:rsid w:val="0030272A"/>
    <w:rsid w:val="00304ED9"/>
    <w:rsid w:val="003067A6"/>
    <w:rsid w:val="00311389"/>
    <w:rsid w:val="00311749"/>
    <w:rsid w:val="0031290E"/>
    <w:rsid w:val="003144A8"/>
    <w:rsid w:val="00314808"/>
    <w:rsid w:val="00314CC6"/>
    <w:rsid w:val="0031604E"/>
    <w:rsid w:val="003202D8"/>
    <w:rsid w:val="00325328"/>
    <w:rsid w:val="00326927"/>
    <w:rsid w:val="00333351"/>
    <w:rsid w:val="003334B9"/>
    <w:rsid w:val="00335157"/>
    <w:rsid w:val="00337EF5"/>
    <w:rsid w:val="00340BC1"/>
    <w:rsid w:val="00342E61"/>
    <w:rsid w:val="00343301"/>
    <w:rsid w:val="00344389"/>
    <w:rsid w:val="00344574"/>
    <w:rsid w:val="003501FB"/>
    <w:rsid w:val="00350CA9"/>
    <w:rsid w:val="00354315"/>
    <w:rsid w:val="00354854"/>
    <w:rsid w:val="00354A5E"/>
    <w:rsid w:val="0035604C"/>
    <w:rsid w:val="0035791F"/>
    <w:rsid w:val="00362284"/>
    <w:rsid w:val="00366848"/>
    <w:rsid w:val="00366D5F"/>
    <w:rsid w:val="003725B8"/>
    <w:rsid w:val="00376C48"/>
    <w:rsid w:val="00377B89"/>
    <w:rsid w:val="0038389D"/>
    <w:rsid w:val="003839BA"/>
    <w:rsid w:val="00384487"/>
    <w:rsid w:val="0038616E"/>
    <w:rsid w:val="00391111"/>
    <w:rsid w:val="003911B9"/>
    <w:rsid w:val="00393D9A"/>
    <w:rsid w:val="0039417D"/>
    <w:rsid w:val="003A2B5B"/>
    <w:rsid w:val="003A447B"/>
    <w:rsid w:val="003A4663"/>
    <w:rsid w:val="003A50C3"/>
    <w:rsid w:val="003A5437"/>
    <w:rsid w:val="003A7DE9"/>
    <w:rsid w:val="003B1779"/>
    <w:rsid w:val="003B23A8"/>
    <w:rsid w:val="003B452A"/>
    <w:rsid w:val="003B5B8C"/>
    <w:rsid w:val="003C0129"/>
    <w:rsid w:val="003C4D5B"/>
    <w:rsid w:val="003C6757"/>
    <w:rsid w:val="003C7E90"/>
    <w:rsid w:val="003D0AF8"/>
    <w:rsid w:val="003D1347"/>
    <w:rsid w:val="003D1C87"/>
    <w:rsid w:val="003D2492"/>
    <w:rsid w:val="003D250D"/>
    <w:rsid w:val="003E0589"/>
    <w:rsid w:val="003E48B4"/>
    <w:rsid w:val="003E4F02"/>
    <w:rsid w:val="003E7572"/>
    <w:rsid w:val="003F5F9C"/>
    <w:rsid w:val="00401DD2"/>
    <w:rsid w:val="00404DE3"/>
    <w:rsid w:val="00405783"/>
    <w:rsid w:val="0040589F"/>
    <w:rsid w:val="00405CB8"/>
    <w:rsid w:val="00406A4F"/>
    <w:rsid w:val="00406F7E"/>
    <w:rsid w:val="00407669"/>
    <w:rsid w:val="0041207C"/>
    <w:rsid w:val="0041457B"/>
    <w:rsid w:val="00420DF1"/>
    <w:rsid w:val="00423B14"/>
    <w:rsid w:val="00427166"/>
    <w:rsid w:val="004311C2"/>
    <w:rsid w:val="00434D2A"/>
    <w:rsid w:val="00436EF1"/>
    <w:rsid w:val="00440012"/>
    <w:rsid w:val="0044005D"/>
    <w:rsid w:val="00441EF3"/>
    <w:rsid w:val="00443FEE"/>
    <w:rsid w:val="00451869"/>
    <w:rsid w:val="00452570"/>
    <w:rsid w:val="004538E1"/>
    <w:rsid w:val="004552A7"/>
    <w:rsid w:val="00466431"/>
    <w:rsid w:val="00470970"/>
    <w:rsid w:val="004726C5"/>
    <w:rsid w:val="00475947"/>
    <w:rsid w:val="00476234"/>
    <w:rsid w:val="004762B1"/>
    <w:rsid w:val="004805FB"/>
    <w:rsid w:val="00483064"/>
    <w:rsid w:val="0048381E"/>
    <w:rsid w:val="00484345"/>
    <w:rsid w:val="00490A00"/>
    <w:rsid w:val="00490BB7"/>
    <w:rsid w:val="00492B3F"/>
    <w:rsid w:val="00493A68"/>
    <w:rsid w:val="00496C8F"/>
    <w:rsid w:val="004A10BE"/>
    <w:rsid w:val="004A1C36"/>
    <w:rsid w:val="004A3D89"/>
    <w:rsid w:val="004A443A"/>
    <w:rsid w:val="004A4D4D"/>
    <w:rsid w:val="004A529B"/>
    <w:rsid w:val="004A5BD5"/>
    <w:rsid w:val="004B0279"/>
    <w:rsid w:val="004B0B72"/>
    <w:rsid w:val="004B450A"/>
    <w:rsid w:val="004B7F09"/>
    <w:rsid w:val="004C143D"/>
    <w:rsid w:val="004C18A1"/>
    <w:rsid w:val="004C324F"/>
    <w:rsid w:val="004C33F6"/>
    <w:rsid w:val="004C3EE2"/>
    <w:rsid w:val="004C653C"/>
    <w:rsid w:val="004C7B5B"/>
    <w:rsid w:val="004D4CF2"/>
    <w:rsid w:val="004D6ECE"/>
    <w:rsid w:val="004E00F0"/>
    <w:rsid w:val="004E0407"/>
    <w:rsid w:val="004E1405"/>
    <w:rsid w:val="004E3B62"/>
    <w:rsid w:val="004E482C"/>
    <w:rsid w:val="004F1879"/>
    <w:rsid w:val="004F4B35"/>
    <w:rsid w:val="004F772E"/>
    <w:rsid w:val="0050037B"/>
    <w:rsid w:val="005006F3"/>
    <w:rsid w:val="00502B1F"/>
    <w:rsid w:val="00505012"/>
    <w:rsid w:val="005114A8"/>
    <w:rsid w:val="005116F1"/>
    <w:rsid w:val="00512335"/>
    <w:rsid w:val="005145ED"/>
    <w:rsid w:val="005165F8"/>
    <w:rsid w:val="00516B98"/>
    <w:rsid w:val="0052374F"/>
    <w:rsid w:val="00524431"/>
    <w:rsid w:val="00524BDA"/>
    <w:rsid w:val="00525672"/>
    <w:rsid w:val="00530C14"/>
    <w:rsid w:val="00531FF1"/>
    <w:rsid w:val="00532996"/>
    <w:rsid w:val="00532ECF"/>
    <w:rsid w:val="005351E5"/>
    <w:rsid w:val="005359CA"/>
    <w:rsid w:val="00536ED4"/>
    <w:rsid w:val="005425F5"/>
    <w:rsid w:val="00542FD6"/>
    <w:rsid w:val="00547734"/>
    <w:rsid w:val="00550F13"/>
    <w:rsid w:val="00560221"/>
    <w:rsid w:val="00560CE9"/>
    <w:rsid w:val="00566C4B"/>
    <w:rsid w:val="00571B45"/>
    <w:rsid w:val="00572CCD"/>
    <w:rsid w:val="00572D18"/>
    <w:rsid w:val="00573D66"/>
    <w:rsid w:val="00575EBD"/>
    <w:rsid w:val="005765E1"/>
    <w:rsid w:val="00577A71"/>
    <w:rsid w:val="0058060D"/>
    <w:rsid w:val="00581597"/>
    <w:rsid w:val="005871D8"/>
    <w:rsid w:val="00590C2A"/>
    <w:rsid w:val="00591124"/>
    <w:rsid w:val="005937D3"/>
    <w:rsid w:val="005941F5"/>
    <w:rsid w:val="0059724A"/>
    <w:rsid w:val="0059774C"/>
    <w:rsid w:val="005A2E75"/>
    <w:rsid w:val="005A2ED8"/>
    <w:rsid w:val="005A77A3"/>
    <w:rsid w:val="005B2CA8"/>
    <w:rsid w:val="005B3EB8"/>
    <w:rsid w:val="005C0CE9"/>
    <w:rsid w:val="005C3D96"/>
    <w:rsid w:val="005C668A"/>
    <w:rsid w:val="005C729D"/>
    <w:rsid w:val="005C7C2F"/>
    <w:rsid w:val="005D1477"/>
    <w:rsid w:val="005E2A8E"/>
    <w:rsid w:val="005E47CA"/>
    <w:rsid w:val="005E4FCF"/>
    <w:rsid w:val="005E5221"/>
    <w:rsid w:val="005F3FC4"/>
    <w:rsid w:val="005F52DD"/>
    <w:rsid w:val="005F5D42"/>
    <w:rsid w:val="006033C1"/>
    <w:rsid w:val="00610A81"/>
    <w:rsid w:val="006128F7"/>
    <w:rsid w:val="0061385B"/>
    <w:rsid w:val="006153B3"/>
    <w:rsid w:val="00616772"/>
    <w:rsid w:val="00623A88"/>
    <w:rsid w:val="0062626D"/>
    <w:rsid w:val="00627DB8"/>
    <w:rsid w:val="00630328"/>
    <w:rsid w:val="006310FE"/>
    <w:rsid w:val="006344D4"/>
    <w:rsid w:val="006346AB"/>
    <w:rsid w:val="00634CFB"/>
    <w:rsid w:val="006355BC"/>
    <w:rsid w:val="00644183"/>
    <w:rsid w:val="00645C64"/>
    <w:rsid w:val="00651F24"/>
    <w:rsid w:val="00653710"/>
    <w:rsid w:val="00653790"/>
    <w:rsid w:val="00656BEE"/>
    <w:rsid w:val="00656EB6"/>
    <w:rsid w:val="00667EC7"/>
    <w:rsid w:val="0067067C"/>
    <w:rsid w:val="00672CA7"/>
    <w:rsid w:val="00673EE0"/>
    <w:rsid w:val="006746D5"/>
    <w:rsid w:val="006751CE"/>
    <w:rsid w:val="00675BCD"/>
    <w:rsid w:val="00675BDC"/>
    <w:rsid w:val="00676DCF"/>
    <w:rsid w:val="00682396"/>
    <w:rsid w:val="006829F1"/>
    <w:rsid w:val="00683AEF"/>
    <w:rsid w:val="006842CB"/>
    <w:rsid w:val="00687296"/>
    <w:rsid w:val="006911CD"/>
    <w:rsid w:val="00692AC1"/>
    <w:rsid w:val="00695D8C"/>
    <w:rsid w:val="00697C33"/>
    <w:rsid w:val="006A02C1"/>
    <w:rsid w:val="006B0179"/>
    <w:rsid w:val="006B0AA4"/>
    <w:rsid w:val="006B0BD0"/>
    <w:rsid w:val="006B1CAE"/>
    <w:rsid w:val="006B286D"/>
    <w:rsid w:val="006B542B"/>
    <w:rsid w:val="006B66C7"/>
    <w:rsid w:val="006C16C8"/>
    <w:rsid w:val="006C4478"/>
    <w:rsid w:val="006C4E30"/>
    <w:rsid w:val="006C7306"/>
    <w:rsid w:val="006D20B7"/>
    <w:rsid w:val="006D311B"/>
    <w:rsid w:val="006D4833"/>
    <w:rsid w:val="006D60BF"/>
    <w:rsid w:val="006D7BA3"/>
    <w:rsid w:val="006E042E"/>
    <w:rsid w:val="006E0F85"/>
    <w:rsid w:val="006E284E"/>
    <w:rsid w:val="006E3258"/>
    <w:rsid w:val="006E36D7"/>
    <w:rsid w:val="006E6D02"/>
    <w:rsid w:val="006F0A89"/>
    <w:rsid w:val="006F4F69"/>
    <w:rsid w:val="0070059F"/>
    <w:rsid w:val="007013FF"/>
    <w:rsid w:val="00701528"/>
    <w:rsid w:val="007028DF"/>
    <w:rsid w:val="0070409B"/>
    <w:rsid w:val="00704479"/>
    <w:rsid w:val="00704C07"/>
    <w:rsid w:val="007053BF"/>
    <w:rsid w:val="00710925"/>
    <w:rsid w:val="00720C80"/>
    <w:rsid w:val="007216A7"/>
    <w:rsid w:val="00724ED6"/>
    <w:rsid w:val="0072702C"/>
    <w:rsid w:val="00727B01"/>
    <w:rsid w:val="007319BD"/>
    <w:rsid w:val="00732E0D"/>
    <w:rsid w:val="00733760"/>
    <w:rsid w:val="0074186B"/>
    <w:rsid w:val="007424BD"/>
    <w:rsid w:val="007440D4"/>
    <w:rsid w:val="00745F92"/>
    <w:rsid w:val="007461C9"/>
    <w:rsid w:val="007462C4"/>
    <w:rsid w:val="00746396"/>
    <w:rsid w:val="007478C7"/>
    <w:rsid w:val="00751753"/>
    <w:rsid w:val="00751BAE"/>
    <w:rsid w:val="0075226F"/>
    <w:rsid w:val="00752325"/>
    <w:rsid w:val="007528A9"/>
    <w:rsid w:val="007532DF"/>
    <w:rsid w:val="00762C9D"/>
    <w:rsid w:val="00762E3B"/>
    <w:rsid w:val="0076386A"/>
    <w:rsid w:val="0076455C"/>
    <w:rsid w:val="00771B81"/>
    <w:rsid w:val="00771FCB"/>
    <w:rsid w:val="007736F3"/>
    <w:rsid w:val="00775F3B"/>
    <w:rsid w:val="0077602E"/>
    <w:rsid w:val="007768D9"/>
    <w:rsid w:val="00777238"/>
    <w:rsid w:val="00780C5C"/>
    <w:rsid w:val="007844DA"/>
    <w:rsid w:val="0079226F"/>
    <w:rsid w:val="007948A1"/>
    <w:rsid w:val="00795C7B"/>
    <w:rsid w:val="00797261"/>
    <w:rsid w:val="00797861"/>
    <w:rsid w:val="007A0CDE"/>
    <w:rsid w:val="007A2D8A"/>
    <w:rsid w:val="007A3852"/>
    <w:rsid w:val="007B2A20"/>
    <w:rsid w:val="007B4305"/>
    <w:rsid w:val="007B5181"/>
    <w:rsid w:val="007B6A61"/>
    <w:rsid w:val="007B7938"/>
    <w:rsid w:val="007C4312"/>
    <w:rsid w:val="007C4B53"/>
    <w:rsid w:val="007C4C2D"/>
    <w:rsid w:val="007C5CFE"/>
    <w:rsid w:val="007C68AC"/>
    <w:rsid w:val="007C7A3F"/>
    <w:rsid w:val="007D2B6A"/>
    <w:rsid w:val="007D2D9A"/>
    <w:rsid w:val="007D373B"/>
    <w:rsid w:val="007D3873"/>
    <w:rsid w:val="007D61C5"/>
    <w:rsid w:val="007D74B5"/>
    <w:rsid w:val="007D7D99"/>
    <w:rsid w:val="007D7E9D"/>
    <w:rsid w:val="007E1CCC"/>
    <w:rsid w:val="007E2CD7"/>
    <w:rsid w:val="007E507A"/>
    <w:rsid w:val="007E617C"/>
    <w:rsid w:val="007E6905"/>
    <w:rsid w:val="007F0344"/>
    <w:rsid w:val="007F0B39"/>
    <w:rsid w:val="007F0C99"/>
    <w:rsid w:val="007F1390"/>
    <w:rsid w:val="007F49B6"/>
    <w:rsid w:val="00804C0B"/>
    <w:rsid w:val="008071E8"/>
    <w:rsid w:val="00810111"/>
    <w:rsid w:val="00812E24"/>
    <w:rsid w:val="00816020"/>
    <w:rsid w:val="008170B4"/>
    <w:rsid w:val="00817CB6"/>
    <w:rsid w:val="00821616"/>
    <w:rsid w:val="0082678A"/>
    <w:rsid w:val="008315C4"/>
    <w:rsid w:val="00835A01"/>
    <w:rsid w:val="00835D2C"/>
    <w:rsid w:val="00836298"/>
    <w:rsid w:val="00837819"/>
    <w:rsid w:val="008409B2"/>
    <w:rsid w:val="0084122A"/>
    <w:rsid w:val="0084128F"/>
    <w:rsid w:val="00852663"/>
    <w:rsid w:val="00852FC8"/>
    <w:rsid w:val="00854541"/>
    <w:rsid w:val="00856885"/>
    <w:rsid w:val="00862626"/>
    <w:rsid w:val="008655F8"/>
    <w:rsid w:val="00865D85"/>
    <w:rsid w:val="00866738"/>
    <w:rsid w:val="00871FA6"/>
    <w:rsid w:val="00872C59"/>
    <w:rsid w:val="00873F5E"/>
    <w:rsid w:val="00875432"/>
    <w:rsid w:val="008762B0"/>
    <w:rsid w:val="00877456"/>
    <w:rsid w:val="00877530"/>
    <w:rsid w:val="00877748"/>
    <w:rsid w:val="00881F4F"/>
    <w:rsid w:val="00885017"/>
    <w:rsid w:val="00891EB6"/>
    <w:rsid w:val="008951E2"/>
    <w:rsid w:val="008A0A05"/>
    <w:rsid w:val="008A3D00"/>
    <w:rsid w:val="008A46C9"/>
    <w:rsid w:val="008A5157"/>
    <w:rsid w:val="008A7853"/>
    <w:rsid w:val="008B0511"/>
    <w:rsid w:val="008B06C2"/>
    <w:rsid w:val="008B0816"/>
    <w:rsid w:val="008B0DE7"/>
    <w:rsid w:val="008B1008"/>
    <w:rsid w:val="008C1A10"/>
    <w:rsid w:val="008C28E5"/>
    <w:rsid w:val="008C65F2"/>
    <w:rsid w:val="008D51F8"/>
    <w:rsid w:val="008D5506"/>
    <w:rsid w:val="008E020C"/>
    <w:rsid w:val="008E07C1"/>
    <w:rsid w:val="008E11F9"/>
    <w:rsid w:val="008E3941"/>
    <w:rsid w:val="008E42AA"/>
    <w:rsid w:val="008E5A3B"/>
    <w:rsid w:val="008F067C"/>
    <w:rsid w:val="008F1AE1"/>
    <w:rsid w:val="008F25D7"/>
    <w:rsid w:val="008F429A"/>
    <w:rsid w:val="008F56B8"/>
    <w:rsid w:val="008F5A2B"/>
    <w:rsid w:val="00902352"/>
    <w:rsid w:val="00902F86"/>
    <w:rsid w:val="00904C9B"/>
    <w:rsid w:val="00910D5F"/>
    <w:rsid w:val="0091269F"/>
    <w:rsid w:val="009128D1"/>
    <w:rsid w:val="009143FE"/>
    <w:rsid w:val="00915853"/>
    <w:rsid w:val="009161EA"/>
    <w:rsid w:val="009243B9"/>
    <w:rsid w:val="009252DA"/>
    <w:rsid w:val="009302AE"/>
    <w:rsid w:val="009303B3"/>
    <w:rsid w:val="0093168B"/>
    <w:rsid w:val="00931FE9"/>
    <w:rsid w:val="00934BF7"/>
    <w:rsid w:val="00937073"/>
    <w:rsid w:val="00937618"/>
    <w:rsid w:val="009407C1"/>
    <w:rsid w:val="0094151C"/>
    <w:rsid w:val="0094263E"/>
    <w:rsid w:val="009426EE"/>
    <w:rsid w:val="00945832"/>
    <w:rsid w:val="00946AB5"/>
    <w:rsid w:val="00946E41"/>
    <w:rsid w:val="009517C0"/>
    <w:rsid w:val="00951CE2"/>
    <w:rsid w:val="00952CC4"/>
    <w:rsid w:val="00955B96"/>
    <w:rsid w:val="00956042"/>
    <w:rsid w:val="00960831"/>
    <w:rsid w:val="00964E54"/>
    <w:rsid w:val="00965C9D"/>
    <w:rsid w:val="00967556"/>
    <w:rsid w:val="0097371E"/>
    <w:rsid w:val="00975D7E"/>
    <w:rsid w:val="00976D08"/>
    <w:rsid w:val="0098332E"/>
    <w:rsid w:val="00985778"/>
    <w:rsid w:val="0099016C"/>
    <w:rsid w:val="00994BEB"/>
    <w:rsid w:val="0099666B"/>
    <w:rsid w:val="009A013B"/>
    <w:rsid w:val="009A130F"/>
    <w:rsid w:val="009A4699"/>
    <w:rsid w:val="009A5D4F"/>
    <w:rsid w:val="009A5E89"/>
    <w:rsid w:val="009B3FA1"/>
    <w:rsid w:val="009B7EC5"/>
    <w:rsid w:val="009C2550"/>
    <w:rsid w:val="009C5636"/>
    <w:rsid w:val="009C78EE"/>
    <w:rsid w:val="009D1266"/>
    <w:rsid w:val="009D2A11"/>
    <w:rsid w:val="009D2A35"/>
    <w:rsid w:val="009D42EB"/>
    <w:rsid w:val="009D5740"/>
    <w:rsid w:val="009E1481"/>
    <w:rsid w:val="009E1CA3"/>
    <w:rsid w:val="009E3E78"/>
    <w:rsid w:val="009E5B58"/>
    <w:rsid w:val="009F12E5"/>
    <w:rsid w:val="009F3864"/>
    <w:rsid w:val="009F7272"/>
    <w:rsid w:val="009F7E09"/>
    <w:rsid w:val="00A00A38"/>
    <w:rsid w:val="00A02F89"/>
    <w:rsid w:val="00A0361E"/>
    <w:rsid w:val="00A06986"/>
    <w:rsid w:val="00A07B96"/>
    <w:rsid w:val="00A136D4"/>
    <w:rsid w:val="00A1383A"/>
    <w:rsid w:val="00A1447F"/>
    <w:rsid w:val="00A148D3"/>
    <w:rsid w:val="00A23190"/>
    <w:rsid w:val="00A2553D"/>
    <w:rsid w:val="00A26660"/>
    <w:rsid w:val="00A31A29"/>
    <w:rsid w:val="00A34529"/>
    <w:rsid w:val="00A3753F"/>
    <w:rsid w:val="00A413A3"/>
    <w:rsid w:val="00A43120"/>
    <w:rsid w:val="00A431E1"/>
    <w:rsid w:val="00A44E6A"/>
    <w:rsid w:val="00A451FB"/>
    <w:rsid w:val="00A471AA"/>
    <w:rsid w:val="00A50870"/>
    <w:rsid w:val="00A51851"/>
    <w:rsid w:val="00A53F69"/>
    <w:rsid w:val="00A55264"/>
    <w:rsid w:val="00A56D26"/>
    <w:rsid w:val="00A6045D"/>
    <w:rsid w:val="00A60FC3"/>
    <w:rsid w:val="00A7597B"/>
    <w:rsid w:val="00A81A60"/>
    <w:rsid w:val="00A847D8"/>
    <w:rsid w:val="00A9008A"/>
    <w:rsid w:val="00A95295"/>
    <w:rsid w:val="00A95AE1"/>
    <w:rsid w:val="00A9681A"/>
    <w:rsid w:val="00AA1791"/>
    <w:rsid w:val="00AA4B6C"/>
    <w:rsid w:val="00AB0F1A"/>
    <w:rsid w:val="00AC0436"/>
    <w:rsid w:val="00AC1510"/>
    <w:rsid w:val="00AC2DFC"/>
    <w:rsid w:val="00AC4A0D"/>
    <w:rsid w:val="00AD4E45"/>
    <w:rsid w:val="00AD5C64"/>
    <w:rsid w:val="00AD70BC"/>
    <w:rsid w:val="00AE0673"/>
    <w:rsid w:val="00AE3AD0"/>
    <w:rsid w:val="00AE4C6D"/>
    <w:rsid w:val="00AE6073"/>
    <w:rsid w:val="00AF1324"/>
    <w:rsid w:val="00AF415B"/>
    <w:rsid w:val="00AF4F1F"/>
    <w:rsid w:val="00B06481"/>
    <w:rsid w:val="00B114A5"/>
    <w:rsid w:val="00B11C3A"/>
    <w:rsid w:val="00B1225E"/>
    <w:rsid w:val="00B13C10"/>
    <w:rsid w:val="00B14148"/>
    <w:rsid w:val="00B15D49"/>
    <w:rsid w:val="00B165EB"/>
    <w:rsid w:val="00B17BBC"/>
    <w:rsid w:val="00B23059"/>
    <w:rsid w:val="00B230F9"/>
    <w:rsid w:val="00B2542E"/>
    <w:rsid w:val="00B27F81"/>
    <w:rsid w:val="00B32F86"/>
    <w:rsid w:val="00B33344"/>
    <w:rsid w:val="00B33643"/>
    <w:rsid w:val="00B3670D"/>
    <w:rsid w:val="00B401CB"/>
    <w:rsid w:val="00B40B8A"/>
    <w:rsid w:val="00B41613"/>
    <w:rsid w:val="00B45E58"/>
    <w:rsid w:val="00B51380"/>
    <w:rsid w:val="00B51B8F"/>
    <w:rsid w:val="00B529D9"/>
    <w:rsid w:val="00B52B2B"/>
    <w:rsid w:val="00B554F3"/>
    <w:rsid w:val="00B5610D"/>
    <w:rsid w:val="00B566C4"/>
    <w:rsid w:val="00B57FD4"/>
    <w:rsid w:val="00B605E2"/>
    <w:rsid w:val="00B61D7C"/>
    <w:rsid w:val="00B626E0"/>
    <w:rsid w:val="00B62C4D"/>
    <w:rsid w:val="00B65232"/>
    <w:rsid w:val="00B66184"/>
    <w:rsid w:val="00B725DF"/>
    <w:rsid w:val="00B72974"/>
    <w:rsid w:val="00B742AC"/>
    <w:rsid w:val="00B812F8"/>
    <w:rsid w:val="00B86D99"/>
    <w:rsid w:val="00B9071E"/>
    <w:rsid w:val="00B94F69"/>
    <w:rsid w:val="00B95E93"/>
    <w:rsid w:val="00B96229"/>
    <w:rsid w:val="00B97857"/>
    <w:rsid w:val="00BA054E"/>
    <w:rsid w:val="00BA2BAF"/>
    <w:rsid w:val="00BA4B9B"/>
    <w:rsid w:val="00BA6AFD"/>
    <w:rsid w:val="00BB3386"/>
    <w:rsid w:val="00BB55CE"/>
    <w:rsid w:val="00BB76EA"/>
    <w:rsid w:val="00BC19CC"/>
    <w:rsid w:val="00BC2A76"/>
    <w:rsid w:val="00BC5195"/>
    <w:rsid w:val="00BC5552"/>
    <w:rsid w:val="00BD1791"/>
    <w:rsid w:val="00BD2336"/>
    <w:rsid w:val="00BD2E39"/>
    <w:rsid w:val="00BE1274"/>
    <w:rsid w:val="00BE4176"/>
    <w:rsid w:val="00BE4266"/>
    <w:rsid w:val="00BE5BC8"/>
    <w:rsid w:val="00BF244C"/>
    <w:rsid w:val="00BF365E"/>
    <w:rsid w:val="00BF5032"/>
    <w:rsid w:val="00BF66EA"/>
    <w:rsid w:val="00C01CF3"/>
    <w:rsid w:val="00C03A82"/>
    <w:rsid w:val="00C03E25"/>
    <w:rsid w:val="00C06AF7"/>
    <w:rsid w:val="00C10EF4"/>
    <w:rsid w:val="00C122F6"/>
    <w:rsid w:val="00C13B75"/>
    <w:rsid w:val="00C1432F"/>
    <w:rsid w:val="00C1441E"/>
    <w:rsid w:val="00C145A9"/>
    <w:rsid w:val="00C149C1"/>
    <w:rsid w:val="00C15C96"/>
    <w:rsid w:val="00C17529"/>
    <w:rsid w:val="00C20997"/>
    <w:rsid w:val="00C24C38"/>
    <w:rsid w:val="00C257B1"/>
    <w:rsid w:val="00C277D3"/>
    <w:rsid w:val="00C27831"/>
    <w:rsid w:val="00C3679A"/>
    <w:rsid w:val="00C36897"/>
    <w:rsid w:val="00C45671"/>
    <w:rsid w:val="00C476B9"/>
    <w:rsid w:val="00C56046"/>
    <w:rsid w:val="00C5751F"/>
    <w:rsid w:val="00C57761"/>
    <w:rsid w:val="00C622A4"/>
    <w:rsid w:val="00C62D20"/>
    <w:rsid w:val="00C7267E"/>
    <w:rsid w:val="00C82EA6"/>
    <w:rsid w:val="00C9050C"/>
    <w:rsid w:val="00C928D4"/>
    <w:rsid w:val="00C93AF6"/>
    <w:rsid w:val="00C95595"/>
    <w:rsid w:val="00CA01A5"/>
    <w:rsid w:val="00CA2933"/>
    <w:rsid w:val="00CB12F1"/>
    <w:rsid w:val="00CB2565"/>
    <w:rsid w:val="00CB2CBC"/>
    <w:rsid w:val="00CC0F43"/>
    <w:rsid w:val="00CC15C5"/>
    <w:rsid w:val="00CC1FA8"/>
    <w:rsid w:val="00CC27E1"/>
    <w:rsid w:val="00CD0FF5"/>
    <w:rsid w:val="00CD3EAF"/>
    <w:rsid w:val="00CD4C46"/>
    <w:rsid w:val="00CD732A"/>
    <w:rsid w:val="00CE1ACB"/>
    <w:rsid w:val="00CE2D3F"/>
    <w:rsid w:val="00CE3C7D"/>
    <w:rsid w:val="00CE4E1D"/>
    <w:rsid w:val="00CE6C93"/>
    <w:rsid w:val="00CE72BE"/>
    <w:rsid w:val="00CF2142"/>
    <w:rsid w:val="00CF25E0"/>
    <w:rsid w:val="00CF2AC7"/>
    <w:rsid w:val="00CF2DB8"/>
    <w:rsid w:val="00CF3568"/>
    <w:rsid w:val="00CF5F76"/>
    <w:rsid w:val="00CF61FD"/>
    <w:rsid w:val="00CF7EAE"/>
    <w:rsid w:val="00D00D54"/>
    <w:rsid w:val="00D021DA"/>
    <w:rsid w:val="00D04261"/>
    <w:rsid w:val="00D05C13"/>
    <w:rsid w:val="00D074D7"/>
    <w:rsid w:val="00D111EB"/>
    <w:rsid w:val="00D11C1A"/>
    <w:rsid w:val="00D126E2"/>
    <w:rsid w:val="00D15DDC"/>
    <w:rsid w:val="00D17138"/>
    <w:rsid w:val="00D17674"/>
    <w:rsid w:val="00D203BE"/>
    <w:rsid w:val="00D215B2"/>
    <w:rsid w:val="00D23952"/>
    <w:rsid w:val="00D316FD"/>
    <w:rsid w:val="00D31E80"/>
    <w:rsid w:val="00D324AE"/>
    <w:rsid w:val="00D32BEC"/>
    <w:rsid w:val="00D32C12"/>
    <w:rsid w:val="00D34EA8"/>
    <w:rsid w:val="00D3579A"/>
    <w:rsid w:val="00D36A80"/>
    <w:rsid w:val="00D41BE3"/>
    <w:rsid w:val="00D42A50"/>
    <w:rsid w:val="00D43551"/>
    <w:rsid w:val="00D45C07"/>
    <w:rsid w:val="00D47217"/>
    <w:rsid w:val="00D51C98"/>
    <w:rsid w:val="00D51EAB"/>
    <w:rsid w:val="00D53A66"/>
    <w:rsid w:val="00D53A73"/>
    <w:rsid w:val="00D6040D"/>
    <w:rsid w:val="00D642B8"/>
    <w:rsid w:val="00D65C0B"/>
    <w:rsid w:val="00D70744"/>
    <w:rsid w:val="00D70AFC"/>
    <w:rsid w:val="00D71772"/>
    <w:rsid w:val="00D812D7"/>
    <w:rsid w:val="00D905E6"/>
    <w:rsid w:val="00D9206B"/>
    <w:rsid w:val="00D92462"/>
    <w:rsid w:val="00D96F4B"/>
    <w:rsid w:val="00D97675"/>
    <w:rsid w:val="00DA4E81"/>
    <w:rsid w:val="00DA5775"/>
    <w:rsid w:val="00DB01C0"/>
    <w:rsid w:val="00DB1261"/>
    <w:rsid w:val="00DB551B"/>
    <w:rsid w:val="00DB6E58"/>
    <w:rsid w:val="00DB6E5A"/>
    <w:rsid w:val="00DC02F3"/>
    <w:rsid w:val="00DC1D50"/>
    <w:rsid w:val="00DC2B34"/>
    <w:rsid w:val="00DC39FA"/>
    <w:rsid w:val="00DC4C7E"/>
    <w:rsid w:val="00DC7EE9"/>
    <w:rsid w:val="00DD160D"/>
    <w:rsid w:val="00DD2C85"/>
    <w:rsid w:val="00DD5968"/>
    <w:rsid w:val="00DD6049"/>
    <w:rsid w:val="00DD6C92"/>
    <w:rsid w:val="00DD76DC"/>
    <w:rsid w:val="00DE3CD5"/>
    <w:rsid w:val="00DE69C1"/>
    <w:rsid w:val="00DE7428"/>
    <w:rsid w:val="00DF02DF"/>
    <w:rsid w:val="00DF0D4C"/>
    <w:rsid w:val="00DF55DC"/>
    <w:rsid w:val="00E04DCE"/>
    <w:rsid w:val="00E20154"/>
    <w:rsid w:val="00E205C0"/>
    <w:rsid w:val="00E22604"/>
    <w:rsid w:val="00E226AD"/>
    <w:rsid w:val="00E23353"/>
    <w:rsid w:val="00E2500F"/>
    <w:rsid w:val="00E253B3"/>
    <w:rsid w:val="00E30403"/>
    <w:rsid w:val="00E311CA"/>
    <w:rsid w:val="00E313FA"/>
    <w:rsid w:val="00E34123"/>
    <w:rsid w:val="00E34C0D"/>
    <w:rsid w:val="00E3584B"/>
    <w:rsid w:val="00E411C4"/>
    <w:rsid w:val="00E41373"/>
    <w:rsid w:val="00E41C20"/>
    <w:rsid w:val="00E42473"/>
    <w:rsid w:val="00E42E4E"/>
    <w:rsid w:val="00E4351D"/>
    <w:rsid w:val="00E43FCB"/>
    <w:rsid w:val="00E4489D"/>
    <w:rsid w:val="00E4528B"/>
    <w:rsid w:val="00E47550"/>
    <w:rsid w:val="00E50DAC"/>
    <w:rsid w:val="00E516A7"/>
    <w:rsid w:val="00E52987"/>
    <w:rsid w:val="00E6223A"/>
    <w:rsid w:val="00E62C70"/>
    <w:rsid w:val="00E63650"/>
    <w:rsid w:val="00E64E14"/>
    <w:rsid w:val="00E70993"/>
    <w:rsid w:val="00E71197"/>
    <w:rsid w:val="00E74E1E"/>
    <w:rsid w:val="00E80EBD"/>
    <w:rsid w:val="00E82492"/>
    <w:rsid w:val="00E8584B"/>
    <w:rsid w:val="00E87642"/>
    <w:rsid w:val="00E90745"/>
    <w:rsid w:val="00E91491"/>
    <w:rsid w:val="00E91643"/>
    <w:rsid w:val="00E9618A"/>
    <w:rsid w:val="00EA44F7"/>
    <w:rsid w:val="00EB2491"/>
    <w:rsid w:val="00EB64B8"/>
    <w:rsid w:val="00EC1809"/>
    <w:rsid w:val="00EC1987"/>
    <w:rsid w:val="00EC2558"/>
    <w:rsid w:val="00EC2C9A"/>
    <w:rsid w:val="00EC6A54"/>
    <w:rsid w:val="00EC778C"/>
    <w:rsid w:val="00ED2915"/>
    <w:rsid w:val="00ED5B22"/>
    <w:rsid w:val="00EE4C32"/>
    <w:rsid w:val="00EF13BC"/>
    <w:rsid w:val="00EF3E02"/>
    <w:rsid w:val="00EF4696"/>
    <w:rsid w:val="00EF476A"/>
    <w:rsid w:val="00EF4C0A"/>
    <w:rsid w:val="00EF6D91"/>
    <w:rsid w:val="00F04ECB"/>
    <w:rsid w:val="00F06692"/>
    <w:rsid w:val="00F066FC"/>
    <w:rsid w:val="00F07FE4"/>
    <w:rsid w:val="00F13C06"/>
    <w:rsid w:val="00F14825"/>
    <w:rsid w:val="00F15C9C"/>
    <w:rsid w:val="00F17E03"/>
    <w:rsid w:val="00F2021F"/>
    <w:rsid w:val="00F21252"/>
    <w:rsid w:val="00F218B0"/>
    <w:rsid w:val="00F225F6"/>
    <w:rsid w:val="00F2379C"/>
    <w:rsid w:val="00F23E21"/>
    <w:rsid w:val="00F24F34"/>
    <w:rsid w:val="00F26D13"/>
    <w:rsid w:val="00F27C15"/>
    <w:rsid w:val="00F30D3F"/>
    <w:rsid w:val="00F31117"/>
    <w:rsid w:val="00F31D0F"/>
    <w:rsid w:val="00F32567"/>
    <w:rsid w:val="00F33641"/>
    <w:rsid w:val="00F33A48"/>
    <w:rsid w:val="00F34456"/>
    <w:rsid w:val="00F42958"/>
    <w:rsid w:val="00F47C1B"/>
    <w:rsid w:val="00F53414"/>
    <w:rsid w:val="00F546E3"/>
    <w:rsid w:val="00F5537E"/>
    <w:rsid w:val="00F57E5A"/>
    <w:rsid w:val="00F638DB"/>
    <w:rsid w:val="00F70801"/>
    <w:rsid w:val="00F75B0A"/>
    <w:rsid w:val="00F81415"/>
    <w:rsid w:val="00F826BC"/>
    <w:rsid w:val="00F82954"/>
    <w:rsid w:val="00F83194"/>
    <w:rsid w:val="00F85A0E"/>
    <w:rsid w:val="00F90073"/>
    <w:rsid w:val="00F929DD"/>
    <w:rsid w:val="00F937CC"/>
    <w:rsid w:val="00FA0E73"/>
    <w:rsid w:val="00FA5DC8"/>
    <w:rsid w:val="00FB4B64"/>
    <w:rsid w:val="00FB6D3D"/>
    <w:rsid w:val="00FC184C"/>
    <w:rsid w:val="00FC3D25"/>
    <w:rsid w:val="00FC4558"/>
    <w:rsid w:val="00FC4FC7"/>
    <w:rsid w:val="00FC5761"/>
    <w:rsid w:val="00FC61A1"/>
    <w:rsid w:val="00FC67B2"/>
    <w:rsid w:val="00FD4110"/>
    <w:rsid w:val="00FD657E"/>
    <w:rsid w:val="00FE0B92"/>
    <w:rsid w:val="00FE2161"/>
    <w:rsid w:val="00FE3FF1"/>
    <w:rsid w:val="00FF1F65"/>
    <w:rsid w:val="00FF5488"/>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9E2C7"/>
  <w15:docId w15:val="{89BA1910-A1FC-4A74-B8E8-BAED6BB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BB"/>
    <w:pPr>
      <w:spacing w:after="177" w:line="248" w:lineRule="auto"/>
      <w:ind w:left="8" w:right="1167"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4" w:line="250" w:lineRule="auto"/>
      <w:ind w:left="10" w:right="57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4" w:line="250" w:lineRule="auto"/>
      <w:ind w:left="10" w:right="57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64" w:line="250" w:lineRule="auto"/>
      <w:ind w:left="10" w:right="57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64" w:line="250" w:lineRule="auto"/>
      <w:ind w:left="10" w:right="57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paragraph" w:styleId="Revision">
    <w:name w:val="Revision"/>
    <w:hidden/>
    <w:uiPriority w:val="99"/>
    <w:semiHidden/>
    <w:rsid w:val="002F029D"/>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E34C0D"/>
    <w:pPr>
      <w:ind w:left="720"/>
      <w:contextualSpacing/>
    </w:pPr>
  </w:style>
  <w:style w:type="paragraph" w:styleId="Header">
    <w:name w:val="header"/>
    <w:basedOn w:val="Normal"/>
    <w:link w:val="HeaderChar"/>
    <w:uiPriority w:val="99"/>
    <w:unhideWhenUsed/>
    <w:rsid w:val="00BE1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274"/>
    <w:rPr>
      <w:rFonts w:ascii="Times New Roman" w:eastAsia="Times New Roman" w:hAnsi="Times New Roman" w:cs="Times New Roman"/>
      <w:color w:val="000000"/>
    </w:rPr>
  </w:style>
  <w:style w:type="paragraph" w:styleId="Footer">
    <w:name w:val="footer"/>
    <w:basedOn w:val="Normal"/>
    <w:link w:val="FooterChar"/>
    <w:uiPriority w:val="99"/>
    <w:unhideWhenUsed/>
    <w:rsid w:val="00BE1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274"/>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405783"/>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724ED6"/>
    <w:pPr>
      <w:tabs>
        <w:tab w:val="left" w:pos="660"/>
        <w:tab w:val="right" w:leader="dot" w:pos="9622"/>
      </w:tabs>
      <w:spacing w:after="100"/>
      <w:ind w:left="220"/>
    </w:pPr>
  </w:style>
  <w:style w:type="paragraph" w:styleId="TOC3">
    <w:name w:val="toc 3"/>
    <w:basedOn w:val="Normal"/>
    <w:next w:val="Normal"/>
    <w:autoRedefine/>
    <w:uiPriority w:val="39"/>
    <w:unhideWhenUsed/>
    <w:rsid w:val="009D5740"/>
    <w:pPr>
      <w:tabs>
        <w:tab w:val="left" w:pos="880"/>
        <w:tab w:val="right" w:leader="dot" w:pos="9622"/>
      </w:tabs>
      <w:spacing w:after="100"/>
      <w:ind w:left="440"/>
    </w:pPr>
  </w:style>
  <w:style w:type="character" w:styleId="Hyperlink">
    <w:name w:val="Hyperlink"/>
    <w:basedOn w:val="DefaultParagraphFont"/>
    <w:uiPriority w:val="99"/>
    <w:unhideWhenUsed/>
    <w:rsid w:val="00405783"/>
    <w:rPr>
      <w:color w:val="0563C1" w:themeColor="hyperlink"/>
      <w:u w:val="single"/>
    </w:rPr>
  </w:style>
  <w:style w:type="paragraph" w:styleId="TOC1">
    <w:name w:val="toc 1"/>
    <w:basedOn w:val="Normal"/>
    <w:next w:val="Normal"/>
    <w:autoRedefine/>
    <w:uiPriority w:val="39"/>
    <w:unhideWhenUsed/>
    <w:rsid w:val="00CF7EAE"/>
    <w:pPr>
      <w:spacing w:after="100"/>
      <w:ind w:left="0"/>
    </w:pPr>
  </w:style>
  <w:style w:type="character" w:styleId="CommentReference">
    <w:name w:val="annotation reference"/>
    <w:basedOn w:val="DefaultParagraphFont"/>
    <w:uiPriority w:val="99"/>
    <w:semiHidden/>
    <w:unhideWhenUsed/>
    <w:rsid w:val="00AC4A0D"/>
    <w:rPr>
      <w:sz w:val="16"/>
      <w:szCs w:val="16"/>
    </w:rPr>
  </w:style>
  <w:style w:type="paragraph" w:styleId="CommentText">
    <w:name w:val="annotation text"/>
    <w:basedOn w:val="Normal"/>
    <w:link w:val="CommentTextChar"/>
    <w:uiPriority w:val="99"/>
    <w:unhideWhenUsed/>
    <w:rsid w:val="00AC4A0D"/>
    <w:pPr>
      <w:spacing w:line="240" w:lineRule="auto"/>
    </w:pPr>
    <w:rPr>
      <w:sz w:val="20"/>
      <w:szCs w:val="20"/>
    </w:rPr>
  </w:style>
  <w:style w:type="character" w:customStyle="1" w:styleId="CommentTextChar">
    <w:name w:val="Comment Text Char"/>
    <w:basedOn w:val="DefaultParagraphFont"/>
    <w:link w:val="CommentText"/>
    <w:uiPriority w:val="99"/>
    <w:rsid w:val="00AC4A0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4A0D"/>
    <w:rPr>
      <w:b/>
      <w:bCs/>
    </w:rPr>
  </w:style>
  <w:style w:type="character" w:customStyle="1" w:styleId="CommentSubjectChar">
    <w:name w:val="Comment Subject Char"/>
    <w:basedOn w:val="CommentTextChar"/>
    <w:link w:val="CommentSubject"/>
    <w:uiPriority w:val="99"/>
    <w:semiHidden/>
    <w:rsid w:val="00AC4A0D"/>
    <w:rPr>
      <w:rFonts w:ascii="Times New Roman" w:eastAsia="Times New Roman" w:hAnsi="Times New Roman" w:cs="Times New Roman"/>
      <w:b/>
      <w:bCs/>
      <w:color w:val="000000"/>
      <w:sz w:val="20"/>
      <w:szCs w:val="20"/>
    </w:rPr>
  </w:style>
  <w:style w:type="table" w:customStyle="1" w:styleId="table">
    <w:name w:val="table"/>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11">
    <w:name w:val="p1_1"/>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21">
    <w:name w:val="p2_1"/>
    <w:basedOn w:val="TableNormal"/>
    <w:rsid w:val="00D42A50"/>
    <w:pPr>
      <w:spacing w:after="0" w:line="240" w:lineRule="auto"/>
    </w:pPr>
    <w:rPr>
      <w:rFonts w:ascii="Times New Roman" w:eastAsia="Times New Roman" w:hAnsi="Times New Roman" w:cs="Times New Roman"/>
      <w:sz w:val="20"/>
      <w:szCs w:val="20"/>
    </w:rPr>
    <w:tblPr/>
  </w:style>
  <w:style w:type="paragraph" w:customStyle="1" w:styleId="TableParagraph">
    <w:name w:val="Table Paragraph"/>
    <w:basedOn w:val="Normal"/>
    <w:uiPriority w:val="1"/>
    <w:qFormat/>
    <w:rsid w:val="001A1D25"/>
    <w:pPr>
      <w:widowControl w:val="0"/>
      <w:autoSpaceDE w:val="0"/>
      <w:autoSpaceDN w:val="0"/>
      <w:spacing w:after="0" w:line="240" w:lineRule="auto"/>
      <w:ind w:left="0" w:right="0" w:firstLine="0"/>
      <w:jc w:val="left"/>
    </w:pPr>
    <w:rPr>
      <w:color w:val="auto"/>
      <w:lang w:val="en-US" w:eastAsia="en-US"/>
    </w:rPr>
  </w:style>
  <w:style w:type="paragraph" w:customStyle="1" w:styleId="iLAWS310Paragraph">
    <w:name w:val="iLAWS_310__Paragraph"/>
    <w:rsid w:val="00877530"/>
    <w:pPr>
      <w:tabs>
        <w:tab w:val="left" w:pos="1134"/>
      </w:tabs>
      <w:suppressAutoHyphens/>
      <w:spacing w:before="80" w:after="40" w:line="240" w:lineRule="auto"/>
      <w:ind w:left="1134" w:hanging="567"/>
      <w:jc w:val="both"/>
    </w:pPr>
    <w:rPr>
      <w:rFonts w:ascii="Times New Roman" w:eastAsia="MS Mincho" w:hAnsi="Times New Roman" w:cs="Times New Roman"/>
      <w:lang w:eastAsia="en-US"/>
    </w:rPr>
  </w:style>
  <w:style w:type="paragraph" w:customStyle="1" w:styleId="iLAWS320SubParagraph">
    <w:name w:val="iLAWS_320___SubParagraph"/>
    <w:rsid w:val="00877530"/>
    <w:pPr>
      <w:tabs>
        <w:tab w:val="left" w:pos="1701"/>
      </w:tabs>
      <w:suppressAutoHyphens/>
      <w:spacing w:before="80" w:after="40" w:line="240" w:lineRule="auto"/>
      <w:ind w:left="1701" w:hanging="567"/>
      <w:jc w:val="both"/>
    </w:pPr>
    <w:rPr>
      <w:rFonts w:ascii="Times New Roman" w:eastAsia="Times New Roman" w:hAnsi="Times New Roman" w:cs="Times New Roman"/>
      <w:color w:val="000000"/>
      <w:lang w:eastAsia="en-US"/>
    </w:rPr>
  </w:style>
  <w:style w:type="character" w:customStyle="1" w:styleId="iLAWS914ArticleNumber">
    <w:name w:val="iLAWS_914_Article_Number"/>
    <w:rsid w:val="00877530"/>
    <w:rPr>
      <w:rFonts w:ascii="Calibri" w:hAnsi="Calibri"/>
      <w:dstrike w:val="0"/>
      <w:color w:val="auto"/>
      <w:sz w:val="24"/>
      <w:szCs w:val="22"/>
      <w:vertAlign w:val="baseline"/>
      <w:lang w:val="en-GB"/>
    </w:rPr>
  </w:style>
  <w:style w:type="paragraph" w:customStyle="1" w:styleId="iLAWS300ArticleIndent">
    <w:name w:val="iLAWS_300_Article_Indent"/>
    <w:basedOn w:val="iLAWS300Article"/>
    <w:semiHidden/>
    <w:rsid w:val="00877530"/>
    <w:pPr>
      <w:pBdr>
        <w:left w:val="single" w:sz="12" w:space="28" w:color="008000"/>
      </w:pBdr>
      <w:tabs>
        <w:tab w:val="clear" w:pos="567"/>
        <w:tab w:val="left" w:pos="1134"/>
      </w:tabs>
      <w:ind w:left="1134"/>
      <w:outlineLvl w:val="9"/>
    </w:pPr>
  </w:style>
  <w:style w:type="paragraph" w:customStyle="1" w:styleId="iLAWS300Article">
    <w:name w:val="iLAWS_300_Article"/>
    <w:next w:val="iLAWS310Paragraph"/>
    <w:rsid w:val="00877530"/>
    <w:pPr>
      <w:keepNext/>
      <w:tabs>
        <w:tab w:val="left" w:pos="567"/>
      </w:tabs>
      <w:suppressAutoHyphens/>
      <w:spacing w:before="480" w:after="0" w:line="240" w:lineRule="auto"/>
      <w:ind w:left="567" w:hanging="567"/>
      <w:outlineLvl w:val="2"/>
    </w:pPr>
    <w:rPr>
      <w:rFonts w:ascii="Calibri" w:eastAsia="Times New Roman" w:hAnsi="Calibri" w:cs="Times New Roman"/>
      <w:b/>
      <w:sz w:val="24"/>
      <w:lang w:eastAsia="en-US"/>
    </w:rPr>
  </w:style>
  <w:style w:type="paragraph" w:customStyle="1" w:styleId="iLAWS301Paragraphunnumbered">
    <w:name w:val="iLAWS_301__Paragraph_unnumbered"/>
    <w:rsid w:val="00877530"/>
    <w:pPr>
      <w:suppressAutoHyphens/>
      <w:spacing w:before="80" w:after="40" w:line="240" w:lineRule="auto"/>
      <w:ind w:left="567"/>
      <w:jc w:val="both"/>
    </w:pPr>
    <w:rPr>
      <w:rFonts w:ascii="Times New Roman" w:eastAsia="Times New Roman" w:hAnsi="Times New Roman" w:cs="Times New Roman"/>
      <w:color w:val="000000"/>
      <w:lang w:eastAsia="en-US"/>
    </w:rPr>
  </w:style>
  <w:style w:type="paragraph" w:customStyle="1" w:styleId="iLAWS311ParagraphContinuedIndent">
    <w:name w:val="iLAWS_311__Paragraph_Continued_Indent"/>
    <w:basedOn w:val="Normal"/>
    <w:semiHidden/>
    <w:rsid w:val="00877530"/>
    <w:pPr>
      <w:pBdr>
        <w:left w:val="single" w:sz="12" w:space="28" w:color="008000"/>
      </w:pBdr>
      <w:tabs>
        <w:tab w:val="left" w:pos="1701"/>
        <w:tab w:val="left" w:pos="2268"/>
      </w:tabs>
      <w:suppressAutoHyphens/>
      <w:spacing w:before="80" w:after="40" w:line="240" w:lineRule="auto"/>
      <w:ind w:left="1701" w:right="0" w:firstLine="0"/>
    </w:pPr>
    <w:rPr>
      <w:rFonts w:eastAsia="MS Mincho"/>
      <w:color w:val="auto"/>
      <w:lang w:eastAsia="en-US"/>
    </w:rPr>
  </w:style>
  <w:style w:type="paragraph" w:customStyle="1" w:styleId="iLAWS310ParagraphIndent">
    <w:name w:val="iLAWS_310__Paragraph_Indent"/>
    <w:basedOn w:val="iLAWS310Paragraph"/>
    <w:semiHidden/>
    <w:rsid w:val="00877530"/>
    <w:pPr>
      <w:pBdr>
        <w:left w:val="single" w:sz="12" w:space="28" w:color="008000"/>
      </w:pBdr>
      <w:tabs>
        <w:tab w:val="clear" w:pos="1134"/>
        <w:tab w:val="left" w:pos="1701"/>
      </w:tabs>
      <w:ind w:left="1701"/>
    </w:pPr>
  </w:style>
  <w:style w:type="paragraph" w:customStyle="1" w:styleId="iLAWS320SubParagraphIndent">
    <w:name w:val="iLAWS_320___SubParagraph_Indent"/>
    <w:basedOn w:val="iLAWS320SubParagraph"/>
    <w:semiHidden/>
    <w:rsid w:val="00877530"/>
    <w:pPr>
      <w:pBdr>
        <w:left w:val="single" w:sz="12" w:space="28" w:color="008000"/>
      </w:pBdr>
      <w:tabs>
        <w:tab w:val="clear" w:pos="1701"/>
        <w:tab w:val="left" w:pos="2268"/>
      </w:tabs>
      <w:ind w:left="2268"/>
    </w:pPr>
  </w:style>
  <w:style w:type="character" w:customStyle="1" w:styleId="iLAWS915ParagraphCharacter">
    <w:name w:val="iLAWS_915_Paragraph_Character"/>
    <w:basedOn w:val="DefaultParagraphFont"/>
    <w:rsid w:val="00877530"/>
    <w:rPr>
      <w:rFonts w:ascii="Times New Roman" w:hAnsi="Times New Roman"/>
      <w:b w:val="0"/>
      <w:i w:val="0"/>
      <w:dstrike w:val="0"/>
      <w:vanish w:val="0"/>
      <w:color w:val="auto"/>
      <w:sz w:val="22"/>
      <w:szCs w:val="22"/>
      <w:vertAlign w:val="baseline"/>
      <w:lang w:val="en-GB"/>
    </w:rPr>
  </w:style>
  <w:style w:type="character" w:customStyle="1" w:styleId="iLAWS916SubParagraphCharacter">
    <w:name w:val="iLAWS_916_SubParagraph_Character"/>
    <w:rsid w:val="00877530"/>
    <w:rPr>
      <w:rFonts w:ascii="Times New Roman" w:hAnsi="Times New Roman"/>
      <w:b w:val="0"/>
      <w:dstrike w:val="0"/>
      <w:vanish w:val="0"/>
      <w:color w:val="auto"/>
      <w:sz w:val="22"/>
      <w:szCs w:val="22"/>
      <w:vertAlign w:val="baseline"/>
      <w:lang w:val="en-GB"/>
    </w:rPr>
  </w:style>
  <w:style w:type="character" w:customStyle="1" w:styleId="iLAWS914ArticleNumberIndent">
    <w:name w:val="iLAWS_914_Article_Number_Indent"/>
    <w:basedOn w:val="iLAWS914ArticleNumber"/>
    <w:uiPriority w:val="1"/>
    <w:rsid w:val="00877530"/>
    <w:rPr>
      <w:rFonts w:ascii="Calibri" w:hAnsi="Calibri"/>
      <w:dstrike w:val="0"/>
      <w:color w:val="auto"/>
      <w:sz w:val="24"/>
      <w:szCs w:val="22"/>
      <w:vertAlign w:val="baseline"/>
      <w:lang w:val="en-GB"/>
    </w:rPr>
  </w:style>
  <w:style w:type="character" w:styleId="UnresolvedMention">
    <w:name w:val="Unresolved Mention"/>
    <w:basedOn w:val="DefaultParagraphFont"/>
    <w:uiPriority w:val="99"/>
    <w:semiHidden/>
    <w:unhideWhenUsed/>
    <w:rsid w:val="00DB01C0"/>
    <w:rPr>
      <w:color w:val="605E5C"/>
      <w:shd w:val="clear" w:color="auto" w:fill="E1DFDD"/>
    </w:rPr>
  </w:style>
  <w:style w:type="paragraph" w:styleId="BalloonText">
    <w:name w:val="Balloon Text"/>
    <w:basedOn w:val="Normal"/>
    <w:link w:val="BalloonTextChar"/>
    <w:uiPriority w:val="99"/>
    <w:semiHidden/>
    <w:unhideWhenUsed/>
    <w:rsid w:val="00744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D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69065">
      <w:bodyDiv w:val="1"/>
      <w:marLeft w:val="0"/>
      <w:marRight w:val="0"/>
      <w:marTop w:val="0"/>
      <w:marBottom w:val="0"/>
      <w:divBdr>
        <w:top w:val="none" w:sz="0" w:space="0" w:color="auto"/>
        <w:left w:val="none" w:sz="0" w:space="0" w:color="auto"/>
        <w:bottom w:val="none" w:sz="0" w:space="0" w:color="auto"/>
        <w:right w:val="none" w:sz="0" w:space="0" w:color="auto"/>
      </w:divBdr>
      <w:divsChild>
        <w:div w:id="2016808545">
          <w:marLeft w:val="0"/>
          <w:marRight w:val="0"/>
          <w:marTop w:val="0"/>
          <w:marBottom w:val="0"/>
          <w:divBdr>
            <w:top w:val="none" w:sz="0" w:space="0" w:color="auto"/>
            <w:left w:val="none" w:sz="0" w:space="0" w:color="auto"/>
            <w:bottom w:val="none" w:sz="0" w:space="0" w:color="auto"/>
            <w:right w:val="none" w:sz="0" w:space="0" w:color="auto"/>
          </w:divBdr>
        </w:div>
        <w:div w:id="1842962658">
          <w:marLeft w:val="0"/>
          <w:marRight w:val="0"/>
          <w:marTop w:val="0"/>
          <w:marBottom w:val="0"/>
          <w:divBdr>
            <w:top w:val="none" w:sz="0" w:space="0" w:color="auto"/>
            <w:left w:val="none" w:sz="0" w:space="0" w:color="auto"/>
            <w:bottom w:val="none" w:sz="0" w:space="0" w:color="auto"/>
            <w:right w:val="none" w:sz="0" w:space="0" w:color="auto"/>
          </w:divBdr>
        </w:div>
        <w:div w:id="1464038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8D24-2A18-404F-9A5F-EC6BAFF2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2585</Words>
  <Characters>13580</Characters>
  <Application>Microsoft Office Word</Application>
  <DocSecurity>0</DocSecurity>
  <Lines>296</Lines>
  <Paragraphs>203</Paragraphs>
  <ScaleCrop>false</ScaleCrop>
  <HeadingPairs>
    <vt:vector size="2" baseType="variant">
      <vt:variant>
        <vt:lpstr>Title</vt:lpstr>
      </vt:variant>
      <vt:variant>
        <vt:i4>1</vt:i4>
      </vt:variant>
    </vt:vector>
  </HeadingPairs>
  <TitlesOfParts>
    <vt:vector size="1" baseType="lpstr">
      <vt:lpstr>REVISED LAWS OF MAURITIUS 2000</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LAWS OF MAURITIUS 2000</dc:title>
  <dc:subject/>
  <dc:creator>K</dc:creator>
  <cp:keywords/>
  <cp:lastModifiedBy>Karen Stephen-Dalton</cp:lastModifiedBy>
  <cp:revision>3</cp:revision>
  <cp:lastPrinted>2023-06-26T01:25:00Z</cp:lastPrinted>
  <dcterms:created xsi:type="dcterms:W3CDTF">2023-12-06T12:59:00Z</dcterms:created>
  <dcterms:modified xsi:type="dcterms:W3CDTF">2023-12-06T13:00:00Z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d4fd4c72b78b048b1b9f91bcf5efe9cbe9e6b4b25e7d7e910646dd61def4de73</vt:lpwstr>
  </property>
</Properties>
</file>