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E3F8" w14:textId="2099C534" w:rsidR="001015F8" w:rsidRPr="00FD4110" w:rsidRDefault="001015F8" w:rsidP="000359EE">
      <w:pPr>
        <w:spacing w:after="161" w:line="250" w:lineRule="auto"/>
        <w:ind w:left="588" w:right="1150" w:hanging="10"/>
        <w:jc w:val="center"/>
        <w:rPr>
          <w:rFonts w:ascii="Arial" w:hAnsi="Arial" w:cs="Arial"/>
          <w:b/>
          <w:color w:val="FF0000"/>
        </w:rPr>
      </w:pPr>
      <w:r w:rsidRPr="00FD4110">
        <w:rPr>
          <w:rFonts w:ascii="Arial" w:hAnsi="Arial" w:cs="Arial"/>
          <w:b/>
          <w:color w:val="FF0000"/>
        </w:rPr>
        <w:t xml:space="preserve">DRAFT </w:t>
      </w:r>
      <w:r w:rsidR="001404E4">
        <w:rPr>
          <w:rFonts w:ascii="Arial" w:hAnsi="Arial" w:cs="Arial"/>
          <w:b/>
          <w:color w:val="FF0000"/>
        </w:rPr>
        <w:t>21.</w:t>
      </w:r>
      <w:r w:rsidR="00DE0556">
        <w:rPr>
          <w:rFonts w:ascii="Arial" w:hAnsi="Arial" w:cs="Arial"/>
          <w:b/>
          <w:color w:val="FF0000"/>
        </w:rPr>
        <w:t>11</w:t>
      </w:r>
      <w:r w:rsidR="001404E4">
        <w:rPr>
          <w:rFonts w:ascii="Arial" w:hAnsi="Arial" w:cs="Arial"/>
          <w:b/>
          <w:color w:val="FF0000"/>
        </w:rPr>
        <w:t>.</w:t>
      </w:r>
      <w:r w:rsidRPr="00FD4110">
        <w:rPr>
          <w:rFonts w:ascii="Arial" w:hAnsi="Arial" w:cs="Arial"/>
          <w:b/>
          <w:color w:val="FF0000"/>
        </w:rPr>
        <w:t>2023</w:t>
      </w:r>
    </w:p>
    <w:p w14:paraId="29BCD949" w14:textId="0A3D11F7" w:rsidR="00D92462" w:rsidRDefault="0059774C" w:rsidP="000359EE">
      <w:pPr>
        <w:spacing w:after="161" w:line="250" w:lineRule="auto"/>
        <w:ind w:left="588" w:right="1150" w:hanging="10"/>
        <w:jc w:val="center"/>
        <w:rPr>
          <w:rFonts w:ascii="Arial" w:hAnsi="Arial" w:cs="Arial"/>
          <w:b/>
        </w:rPr>
      </w:pPr>
      <w:r w:rsidRPr="000359EE">
        <w:rPr>
          <w:rFonts w:ascii="Arial" w:hAnsi="Arial" w:cs="Arial"/>
          <w:b/>
        </w:rPr>
        <w:t>SECURITIES (</w:t>
      </w:r>
      <w:r w:rsidR="0084338E">
        <w:rPr>
          <w:rFonts w:ascii="Arial" w:hAnsi="Arial" w:cs="Arial"/>
          <w:b/>
        </w:rPr>
        <w:t>TAKEOVER</w:t>
      </w:r>
      <w:r w:rsidRPr="000359EE">
        <w:rPr>
          <w:rFonts w:ascii="Arial" w:hAnsi="Arial" w:cs="Arial"/>
          <w:b/>
        </w:rPr>
        <w:t>)</w:t>
      </w:r>
      <w:r w:rsidR="0076386A" w:rsidRPr="000359EE">
        <w:rPr>
          <w:rFonts w:ascii="Arial" w:hAnsi="Arial" w:cs="Arial"/>
          <w:b/>
        </w:rPr>
        <w:t xml:space="preserve"> </w:t>
      </w:r>
      <w:r w:rsidR="0084338E">
        <w:rPr>
          <w:rFonts w:ascii="Arial" w:hAnsi="Arial" w:cs="Arial"/>
          <w:b/>
        </w:rPr>
        <w:t xml:space="preserve">(AMENDMENT) </w:t>
      </w:r>
      <w:r w:rsidR="00D316FD">
        <w:rPr>
          <w:rFonts w:ascii="Arial" w:hAnsi="Arial" w:cs="Arial"/>
          <w:b/>
        </w:rPr>
        <w:t>RULES</w:t>
      </w:r>
      <w:r w:rsidR="0076386A" w:rsidRPr="000359EE">
        <w:rPr>
          <w:rFonts w:ascii="Arial" w:hAnsi="Arial" w:cs="Arial"/>
          <w:b/>
        </w:rPr>
        <w:t xml:space="preserve"> </w:t>
      </w:r>
      <w:r w:rsidRPr="000359EE">
        <w:rPr>
          <w:rFonts w:ascii="Arial" w:hAnsi="Arial" w:cs="Arial"/>
          <w:b/>
        </w:rPr>
        <w:t>2023</w:t>
      </w:r>
    </w:p>
    <w:p w14:paraId="235A9B08" w14:textId="4AECAE99" w:rsidR="00FF1F65" w:rsidRPr="000359EE" w:rsidRDefault="00FF1F65" w:rsidP="000359EE">
      <w:pPr>
        <w:spacing w:after="161" w:line="250" w:lineRule="auto"/>
        <w:ind w:left="588" w:right="1150" w:hanging="10"/>
        <w:jc w:val="center"/>
        <w:rPr>
          <w:rFonts w:ascii="Arial" w:hAnsi="Arial" w:cs="Arial"/>
          <w:b/>
        </w:rPr>
      </w:pPr>
      <w:r>
        <w:rPr>
          <w:rFonts w:ascii="Arial" w:hAnsi="Arial" w:cs="Arial"/>
          <w:b/>
        </w:rPr>
        <w:t xml:space="preserve">ARRANGEMENT OF </w:t>
      </w:r>
      <w:r w:rsidR="00D316FD">
        <w:rPr>
          <w:rFonts w:ascii="Arial" w:hAnsi="Arial" w:cs="Arial"/>
          <w:b/>
        </w:rPr>
        <w:t>RULES</w:t>
      </w:r>
    </w:p>
    <w:sdt>
      <w:sdtPr>
        <w:rPr>
          <w:rFonts w:ascii="Times New Roman" w:eastAsia="Times New Roman" w:hAnsi="Times New Roman" w:cs="Times New Roman"/>
          <w:color w:val="000000"/>
          <w:sz w:val="22"/>
          <w:szCs w:val="22"/>
          <w:lang w:val="en-GB" w:eastAsia="en-GB"/>
        </w:rPr>
        <w:id w:val="2108077279"/>
        <w:docPartObj>
          <w:docPartGallery w:val="Table of Contents"/>
          <w:docPartUnique/>
        </w:docPartObj>
      </w:sdtPr>
      <w:sdtEndPr>
        <w:rPr>
          <w:b/>
          <w:bCs/>
          <w:noProof/>
        </w:rPr>
      </w:sdtEndPr>
      <w:sdtContent>
        <w:p w14:paraId="6447BA32" w14:textId="48BECAC5" w:rsidR="009F7E09" w:rsidRPr="00FF1F65" w:rsidRDefault="00CC27E1">
          <w:pPr>
            <w:pStyle w:val="TOCHeading"/>
            <w:rPr>
              <w:color w:val="auto"/>
            </w:rPr>
          </w:pPr>
          <w:r>
            <w:rPr>
              <w:color w:val="auto"/>
            </w:rPr>
            <w:t>Rule</w:t>
          </w:r>
        </w:p>
        <w:p w14:paraId="70AF9D2A" w14:textId="614F8494" w:rsidR="001404E4" w:rsidRDefault="009F7E09">
          <w:pPr>
            <w:pStyle w:val="TOC3"/>
            <w:rPr>
              <w:rFonts w:asciiTheme="minorHAnsi" w:eastAsiaTheme="minorEastAsia" w:hAnsiTheme="minorHAnsi" w:cstheme="minorBidi"/>
              <w:noProof/>
              <w:color w:val="auto"/>
              <w:kern w:val="2"/>
              <w14:ligatures w14:val="standardContextual"/>
            </w:rPr>
          </w:pPr>
          <w:r>
            <w:fldChar w:fldCharType="begin"/>
          </w:r>
          <w:r>
            <w:instrText xml:space="preserve"> TOC \o "1-3" \h \z \u </w:instrText>
          </w:r>
          <w:r>
            <w:fldChar w:fldCharType="separate"/>
          </w:r>
          <w:hyperlink w:anchor="_Toc151455607" w:history="1">
            <w:r w:rsidR="001404E4" w:rsidRPr="009844D8">
              <w:rPr>
                <w:rStyle w:val="Hyperlink"/>
                <w:rFonts w:ascii="Arial" w:eastAsia="Arial" w:hAnsi="Arial" w:cs="Arial"/>
                <w:noProof/>
              </w:rPr>
              <w:t>1</w:t>
            </w:r>
            <w:r w:rsidR="001404E4">
              <w:rPr>
                <w:rFonts w:asciiTheme="minorHAnsi" w:eastAsiaTheme="minorEastAsia" w:hAnsiTheme="minorHAnsi" w:cstheme="minorBidi"/>
                <w:noProof/>
                <w:color w:val="auto"/>
                <w:kern w:val="2"/>
                <w14:ligatures w14:val="standardContextual"/>
              </w:rPr>
              <w:tab/>
            </w:r>
            <w:r w:rsidR="001404E4" w:rsidRPr="009844D8">
              <w:rPr>
                <w:rStyle w:val="Hyperlink"/>
                <w:rFonts w:ascii="Arial" w:eastAsia="Arial" w:hAnsi="Arial" w:cs="Arial"/>
                <w:noProof/>
              </w:rPr>
              <w:t>Citation</w:t>
            </w:r>
            <w:r w:rsidR="001404E4">
              <w:rPr>
                <w:noProof/>
                <w:webHidden/>
              </w:rPr>
              <w:tab/>
            </w:r>
            <w:r w:rsidR="001404E4">
              <w:rPr>
                <w:noProof/>
                <w:webHidden/>
              </w:rPr>
              <w:fldChar w:fldCharType="begin"/>
            </w:r>
            <w:r w:rsidR="001404E4">
              <w:rPr>
                <w:noProof/>
                <w:webHidden/>
              </w:rPr>
              <w:instrText xml:space="preserve"> PAGEREF _Toc151455607 \h </w:instrText>
            </w:r>
            <w:r w:rsidR="001404E4">
              <w:rPr>
                <w:noProof/>
                <w:webHidden/>
              </w:rPr>
            </w:r>
            <w:r w:rsidR="001404E4">
              <w:rPr>
                <w:noProof/>
                <w:webHidden/>
              </w:rPr>
              <w:fldChar w:fldCharType="separate"/>
            </w:r>
            <w:r w:rsidR="001404E4">
              <w:rPr>
                <w:noProof/>
                <w:webHidden/>
              </w:rPr>
              <w:t>2</w:t>
            </w:r>
            <w:r w:rsidR="001404E4">
              <w:rPr>
                <w:noProof/>
                <w:webHidden/>
              </w:rPr>
              <w:fldChar w:fldCharType="end"/>
            </w:r>
          </w:hyperlink>
        </w:p>
        <w:p w14:paraId="1C2D39A3" w14:textId="71EA5FC1" w:rsidR="001404E4" w:rsidRDefault="004D4DA8">
          <w:pPr>
            <w:pStyle w:val="TOC3"/>
            <w:rPr>
              <w:rFonts w:asciiTheme="minorHAnsi" w:eastAsiaTheme="minorEastAsia" w:hAnsiTheme="minorHAnsi" w:cstheme="minorBidi"/>
              <w:noProof/>
              <w:color w:val="auto"/>
              <w:kern w:val="2"/>
              <w14:ligatures w14:val="standardContextual"/>
            </w:rPr>
          </w:pPr>
          <w:hyperlink w:anchor="_Toc151455608" w:history="1">
            <w:r w:rsidR="001404E4" w:rsidRPr="009844D8">
              <w:rPr>
                <w:rStyle w:val="Hyperlink"/>
                <w:rFonts w:ascii="Arial" w:eastAsia="Arial" w:hAnsi="Arial" w:cs="Arial"/>
                <w:noProof/>
              </w:rPr>
              <w:t>2</w:t>
            </w:r>
            <w:r w:rsidR="001404E4">
              <w:rPr>
                <w:rFonts w:asciiTheme="minorHAnsi" w:eastAsiaTheme="minorEastAsia" w:hAnsiTheme="minorHAnsi" w:cstheme="minorBidi"/>
                <w:noProof/>
                <w:color w:val="auto"/>
                <w:kern w:val="2"/>
                <w14:ligatures w14:val="standardContextual"/>
              </w:rPr>
              <w:tab/>
            </w:r>
            <w:r w:rsidR="001404E4" w:rsidRPr="009844D8">
              <w:rPr>
                <w:rStyle w:val="Hyperlink"/>
                <w:rFonts w:ascii="Arial" w:eastAsia="Arial" w:hAnsi="Arial" w:cs="Arial"/>
                <w:noProof/>
              </w:rPr>
              <w:t>Interpretation</w:t>
            </w:r>
            <w:r w:rsidR="001404E4">
              <w:rPr>
                <w:noProof/>
                <w:webHidden/>
              </w:rPr>
              <w:tab/>
            </w:r>
            <w:r w:rsidR="001404E4">
              <w:rPr>
                <w:noProof/>
                <w:webHidden/>
              </w:rPr>
              <w:fldChar w:fldCharType="begin"/>
            </w:r>
            <w:r w:rsidR="001404E4">
              <w:rPr>
                <w:noProof/>
                <w:webHidden/>
              </w:rPr>
              <w:instrText xml:space="preserve"> PAGEREF _Toc151455608 \h </w:instrText>
            </w:r>
            <w:r w:rsidR="001404E4">
              <w:rPr>
                <w:noProof/>
                <w:webHidden/>
              </w:rPr>
            </w:r>
            <w:r w:rsidR="001404E4">
              <w:rPr>
                <w:noProof/>
                <w:webHidden/>
              </w:rPr>
              <w:fldChar w:fldCharType="separate"/>
            </w:r>
            <w:r w:rsidR="001404E4">
              <w:rPr>
                <w:noProof/>
                <w:webHidden/>
              </w:rPr>
              <w:t>2</w:t>
            </w:r>
            <w:r w:rsidR="001404E4">
              <w:rPr>
                <w:noProof/>
                <w:webHidden/>
              </w:rPr>
              <w:fldChar w:fldCharType="end"/>
            </w:r>
          </w:hyperlink>
        </w:p>
        <w:p w14:paraId="0E08F2EA" w14:textId="528F5F28" w:rsidR="001404E4" w:rsidRDefault="004D4DA8">
          <w:pPr>
            <w:pStyle w:val="TOC3"/>
            <w:rPr>
              <w:rFonts w:asciiTheme="minorHAnsi" w:eastAsiaTheme="minorEastAsia" w:hAnsiTheme="minorHAnsi" w:cstheme="minorBidi"/>
              <w:noProof/>
              <w:color w:val="auto"/>
              <w:kern w:val="2"/>
              <w14:ligatures w14:val="standardContextual"/>
            </w:rPr>
          </w:pPr>
          <w:hyperlink w:anchor="_Toc151455609" w:history="1">
            <w:r w:rsidR="001404E4" w:rsidRPr="009844D8">
              <w:rPr>
                <w:rStyle w:val="Hyperlink"/>
                <w:rFonts w:ascii="Arial" w:eastAsia="Arial" w:hAnsi="Arial" w:cs="Arial"/>
                <w:noProof/>
              </w:rPr>
              <w:t>3</w:t>
            </w:r>
            <w:r w:rsidR="001404E4">
              <w:rPr>
                <w:rFonts w:asciiTheme="minorHAnsi" w:eastAsiaTheme="minorEastAsia" w:hAnsiTheme="minorHAnsi" w:cstheme="minorBidi"/>
                <w:noProof/>
                <w:color w:val="auto"/>
                <w:kern w:val="2"/>
                <w14:ligatures w14:val="standardContextual"/>
              </w:rPr>
              <w:tab/>
            </w:r>
            <w:r w:rsidR="001404E4" w:rsidRPr="009844D8">
              <w:rPr>
                <w:rStyle w:val="Hyperlink"/>
                <w:rFonts w:ascii="Arial" w:eastAsia="Arial" w:hAnsi="Arial" w:cs="Arial"/>
                <w:noProof/>
              </w:rPr>
              <w:t>Rule 2 of the principal Rules amended</w:t>
            </w:r>
            <w:r w:rsidR="001404E4">
              <w:rPr>
                <w:noProof/>
                <w:webHidden/>
              </w:rPr>
              <w:tab/>
            </w:r>
            <w:r w:rsidR="001404E4">
              <w:rPr>
                <w:noProof/>
                <w:webHidden/>
              </w:rPr>
              <w:fldChar w:fldCharType="begin"/>
            </w:r>
            <w:r w:rsidR="001404E4">
              <w:rPr>
                <w:noProof/>
                <w:webHidden/>
              </w:rPr>
              <w:instrText xml:space="preserve"> PAGEREF _Toc151455609 \h </w:instrText>
            </w:r>
            <w:r w:rsidR="001404E4">
              <w:rPr>
                <w:noProof/>
                <w:webHidden/>
              </w:rPr>
            </w:r>
            <w:r w:rsidR="001404E4">
              <w:rPr>
                <w:noProof/>
                <w:webHidden/>
              </w:rPr>
              <w:fldChar w:fldCharType="separate"/>
            </w:r>
            <w:r w:rsidR="001404E4">
              <w:rPr>
                <w:noProof/>
                <w:webHidden/>
              </w:rPr>
              <w:t>2</w:t>
            </w:r>
            <w:r w:rsidR="001404E4">
              <w:rPr>
                <w:noProof/>
                <w:webHidden/>
              </w:rPr>
              <w:fldChar w:fldCharType="end"/>
            </w:r>
          </w:hyperlink>
        </w:p>
        <w:p w14:paraId="085BC68A" w14:textId="2D074A81" w:rsidR="001404E4" w:rsidRDefault="004D4DA8">
          <w:pPr>
            <w:pStyle w:val="TOC3"/>
            <w:rPr>
              <w:rFonts w:asciiTheme="minorHAnsi" w:eastAsiaTheme="minorEastAsia" w:hAnsiTheme="minorHAnsi" w:cstheme="minorBidi"/>
              <w:noProof/>
              <w:color w:val="auto"/>
              <w:kern w:val="2"/>
              <w14:ligatures w14:val="standardContextual"/>
            </w:rPr>
          </w:pPr>
          <w:hyperlink w:anchor="_Toc151455610" w:history="1">
            <w:r w:rsidR="001404E4" w:rsidRPr="009844D8">
              <w:rPr>
                <w:rStyle w:val="Hyperlink"/>
                <w:rFonts w:ascii="Arial" w:eastAsia="Arial" w:hAnsi="Arial" w:cs="Arial"/>
                <w:noProof/>
              </w:rPr>
              <w:t>4</w:t>
            </w:r>
            <w:r w:rsidR="001404E4">
              <w:rPr>
                <w:rFonts w:asciiTheme="minorHAnsi" w:eastAsiaTheme="minorEastAsia" w:hAnsiTheme="minorHAnsi" w:cstheme="minorBidi"/>
                <w:noProof/>
                <w:color w:val="auto"/>
                <w:kern w:val="2"/>
                <w14:ligatures w14:val="standardContextual"/>
              </w:rPr>
              <w:tab/>
            </w:r>
            <w:r w:rsidR="001404E4" w:rsidRPr="009844D8">
              <w:rPr>
                <w:rStyle w:val="Hyperlink"/>
                <w:rFonts w:ascii="Arial" w:eastAsia="Arial" w:hAnsi="Arial" w:cs="Arial"/>
                <w:noProof/>
              </w:rPr>
              <w:t>Rule 3 of the principal Rules amended</w:t>
            </w:r>
            <w:r w:rsidR="001404E4">
              <w:rPr>
                <w:noProof/>
                <w:webHidden/>
              </w:rPr>
              <w:tab/>
            </w:r>
            <w:r w:rsidR="001404E4">
              <w:rPr>
                <w:noProof/>
                <w:webHidden/>
              </w:rPr>
              <w:fldChar w:fldCharType="begin"/>
            </w:r>
            <w:r w:rsidR="001404E4">
              <w:rPr>
                <w:noProof/>
                <w:webHidden/>
              </w:rPr>
              <w:instrText xml:space="preserve"> PAGEREF _Toc151455610 \h </w:instrText>
            </w:r>
            <w:r w:rsidR="001404E4">
              <w:rPr>
                <w:noProof/>
                <w:webHidden/>
              </w:rPr>
            </w:r>
            <w:r w:rsidR="001404E4">
              <w:rPr>
                <w:noProof/>
                <w:webHidden/>
              </w:rPr>
              <w:fldChar w:fldCharType="separate"/>
            </w:r>
            <w:r w:rsidR="001404E4">
              <w:rPr>
                <w:noProof/>
                <w:webHidden/>
              </w:rPr>
              <w:t>2</w:t>
            </w:r>
            <w:r w:rsidR="001404E4">
              <w:rPr>
                <w:noProof/>
                <w:webHidden/>
              </w:rPr>
              <w:fldChar w:fldCharType="end"/>
            </w:r>
          </w:hyperlink>
        </w:p>
        <w:p w14:paraId="43DC5335" w14:textId="4059324F" w:rsidR="001404E4" w:rsidRDefault="004D4DA8">
          <w:pPr>
            <w:pStyle w:val="TOC3"/>
            <w:rPr>
              <w:rFonts w:asciiTheme="minorHAnsi" w:eastAsiaTheme="minorEastAsia" w:hAnsiTheme="minorHAnsi" w:cstheme="minorBidi"/>
              <w:noProof/>
              <w:color w:val="auto"/>
              <w:kern w:val="2"/>
              <w14:ligatures w14:val="standardContextual"/>
            </w:rPr>
          </w:pPr>
          <w:hyperlink w:anchor="_Toc151455611" w:history="1">
            <w:r w:rsidR="001404E4" w:rsidRPr="009844D8">
              <w:rPr>
                <w:rStyle w:val="Hyperlink"/>
                <w:rFonts w:ascii="Arial" w:eastAsia="Arial" w:hAnsi="Arial" w:cs="Arial"/>
                <w:noProof/>
              </w:rPr>
              <w:t>5</w:t>
            </w:r>
            <w:r w:rsidR="001404E4">
              <w:rPr>
                <w:rFonts w:asciiTheme="minorHAnsi" w:eastAsiaTheme="minorEastAsia" w:hAnsiTheme="minorHAnsi" w:cstheme="minorBidi"/>
                <w:noProof/>
                <w:color w:val="auto"/>
                <w:kern w:val="2"/>
                <w14:ligatures w14:val="standardContextual"/>
              </w:rPr>
              <w:tab/>
            </w:r>
            <w:r w:rsidR="001404E4" w:rsidRPr="009844D8">
              <w:rPr>
                <w:rStyle w:val="Hyperlink"/>
                <w:rFonts w:ascii="Arial" w:eastAsia="Arial" w:hAnsi="Arial" w:cs="Arial"/>
                <w:noProof/>
              </w:rPr>
              <w:t>Rule 9 of the principal Rules repealed and replaced</w:t>
            </w:r>
            <w:r w:rsidR="001404E4">
              <w:rPr>
                <w:noProof/>
                <w:webHidden/>
              </w:rPr>
              <w:tab/>
            </w:r>
            <w:r w:rsidR="001404E4">
              <w:rPr>
                <w:noProof/>
                <w:webHidden/>
              </w:rPr>
              <w:fldChar w:fldCharType="begin"/>
            </w:r>
            <w:r w:rsidR="001404E4">
              <w:rPr>
                <w:noProof/>
                <w:webHidden/>
              </w:rPr>
              <w:instrText xml:space="preserve"> PAGEREF _Toc151455611 \h </w:instrText>
            </w:r>
            <w:r w:rsidR="001404E4">
              <w:rPr>
                <w:noProof/>
                <w:webHidden/>
              </w:rPr>
            </w:r>
            <w:r w:rsidR="001404E4">
              <w:rPr>
                <w:noProof/>
                <w:webHidden/>
              </w:rPr>
              <w:fldChar w:fldCharType="separate"/>
            </w:r>
            <w:r w:rsidR="001404E4">
              <w:rPr>
                <w:noProof/>
                <w:webHidden/>
              </w:rPr>
              <w:t>2</w:t>
            </w:r>
            <w:r w:rsidR="001404E4">
              <w:rPr>
                <w:noProof/>
                <w:webHidden/>
              </w:rPr>
              <w:fldChar w:fldCharType="end"/>
            </w:r>
          </w:hyperlink>
        </w:p>
        <w:p w14:paraId="7670DF22" w14:textId="5719E4B7" w:rsidR="001404E4" w:rsidRDefault="004D4DA8">
          <w:pPr>
            <w:pStyle w:val="TOC3"/>
            <w:rPr>
              <w:rFonts w:asciiTheme="minorHAnsi" w:eastAsiaTheme="minorEastAsia" w:hAnsiTheme="minorHAnsi" w:cstheme="minorBidi"/>
              <w:noProof/>
              <w:color w:val="auto"/>
              <w:kern w:val="2"/>
              <w14:ligatures w14:val="standardContextual"/>
            </w:rPr>
          </w:pPr>
          <w:hyperlink w:anchor="_Toc151455612" w:history="1">
            <w:r w:rsidR="001404E4" w:rsidRPr="009844D8">
              <w:rPr>
                <w:rStyle w:val="Hyperlink"/>
                <w:rFonts w:ascii="Arial" w:eastAsia="Arial" w:hAnsi="Arial" w:cs="Arial"/>
                <w:noProof/>
              </w:rPr>
              <w:t>6</w:t>
            </w:r>
            <w:r w:rsidR="001404E4">
              <w:rPr>
                <w:rFonts w:asciiTheme="minorHAnsi" w:eastAsiaTheme="minorEastAsia" w:hAnsiTheme="minorHAnsi" w:cstheme="minorBidi"/>
                <w:noProof/>
                <w:color w:val="auto"/>
                <w:kern w:val="2"/>
                <w14:ligatures w14:val="standardContextual"/>
              </w:rPr>
              <w:tab/>
            </w:r>
            <w:r w:rsidR="001404E4" w:rsidRPr="009844D8">
              <w:rPr>
                <w:rStyle w:val="Hyperlink"/>
                <w:rFonts w:ascii="Arial" w:eastAsia="Arial" w:hAnsi="Arial" w:cs="Arial"/>
                <w:noProof/>
              </w:rPr>
              <w:t>Rule 11 of the principal Rules amended</w:t>
            </w:r>
            <w:r w:rsidR="001404E4">
              <w:rPr>
                <w:noProof/>
                <w:webHidden/>
              </w:rPr>
              <w:tab/>
            </w:r>
            <w:r w:rsidR="001404E4">
              <w:rPr>
                <w:noProof/>
                <w:webHidden/>
              </w:rPr>
              <w:fldChar w:fldCharType="begin"/>
            </w:r>
            <w:r w:rsidR="001404E4">
              <w:rPr>
                <w:noProof/>
                <w:webHidden/>
              </w:rPr>
              <w:instrText xml:space="preserve"> PAGEREF _Toc151455612 \h </w:instrText>
            </w:r>
            <w:r w:rsidR="001404E4">
              <w:rPr>
                <w:noProof/>
                <w:webHidden/>
              </w:rPr>
            </w:r>
            <w:r w:rsidR="001404E4">
              <w:rPr>
                <w:noProof/>
                <w:webHidden/>
              </w:rPr>
              <w:fldChar w:fldCharType="separate"/>
            </w:r>
            <w:r w:rsidR="001404E4">
              <w:rPr>
                <w:noProof/>
                <w:webHidden/>
              </w:rPr>
              <w:t>2</w:t>
            </w:r>
            <w:r w:rsidR="001404E4">
              <w:rPr>
                <w:noProof/>
                <w:webHidden/>
              </w:rPr>
              <w:fldChar w:fldCharType="end"/>
            </w:r>
          </w:hyperlink>
        </w:p>
        <w:p w14:paraId="632D151C" w14:textId="64F359B5" w:rsidR="001404E4" w:rsidRDefault="004D4DA8">
          <w:pPr>
            <w:pStyle w:val="TOC3"/>
            <w:rPr>
              <w:rFonts w:asciiTheme="minorHAnsi" w:eastAsiaTheme="minorEastAsia" w:hAnsiTheme="minorHAnsi" w:cstheme="minorBidi"/>
              <w:noProof/>
              <w:color w:val="auto"/>
              <w:kern w:val="2"/>
              <w14:ligatures w14:val="standardContextual"/>
            </w:rPr>
          </w:pPr>
          <w:hyperlink w:anchor="_Toc151455613" w:history="1">
            <w:r w:rsidR="001404E4" w:rsidRPr="009844D8">
              <w:rPr>
                <w:rStyle w:val="Hyperlink"/>
                <w:rFonts w:ascii="Arial" w:eastAsia="Arial" w:hAnsi="Arial" w:cs="Arial"/>
                <w:noProof/>
              </w:rPr>
              <w:t>7</w:t>
            </w:r>
            <w:r w:rsidR="001404E4">
              <w:rPr>
                <w:rFonts w:asciiTheme="minorHAnsi" w:eastAsiaTheme="minorEastAsia" w:hAnsiTheme="minorHAnsi" w:cstheme="minorBidi"/>
                <w:noProof/>
                <w:color w:val="auto"/>
                <w:kern w:val="2"/>
                <w14:ligatures w14:val="standardContextual"/>
              </w:rPr>
              <w:tab/>
            </w:r>
            <w:r w:rsidR="001404E4" w:rsidRPr="009844D8">
              <w:rPr>
                <w:rStyle w:val="Hyperlink"/>
                <w:rFonts w:ascii="Arial" w:eastAsia="Arial" w:hAnsi="Arial" w:cs="Arial"/>
                <w:noProof/>
              </w:rPr>
              <w:t>Rule 11A of the principal Rules inserted</w:t>
            </w:r>
            <w:r w:rsidR="001404E4">
              <w:rPr>
                <w:noProof/>
                <w:webHidden/>
              </w:rPr>
              <w:tab/>
            </w:r>
            <w:r w:rsidR="001404E4">
              <w:rPr>
                <w:noProof/>
                <w:webHidden/>
              </w:rPr>
              <w:fldChar w:fldCharType="begin"/>
            </w:r>
            <w:r w:rsidR="001404E4">
              <w:rPr>
                <w:noProof/>
                <w:webHidden/>
              </w:rPr>
              <w:instrText xml:space="preserve"> PAGEREF _Toc151455613 \h </w:instrText>
            </w:r>
            <w:r w:rsidR="001404E4">
              <w:rPr>
                <w:noProof/>
                <w:webHidden/>
              </w:rPr>
            </w:r>
            <w:r w:rsidR="001404E4">
              <w:rPr>
                <w:noProof/>
                <w:webHidden/>
              </w:rPr>
              <w:fldChar w:fldCharType="separate"/>
            </w:r>
            <w:r w:rsidR="001404E4">
              <w:rPr>
                <w:noProof/>
                <w:webHidden/>
              </w:rPr>
              <w:t>3</w:t>
            </w:r>
            <w:r w:rsidR="001404E4">
              <w:rPr>
                <w:noProof/>
                <w:webHidden/>
              </w:rPr>
              <w:fldChar w:fldCharType="end"/>
            </w:r>
          </w:hyperlink>
        </w:p>
        <w:p w14:paraId="538FB374" w14:textId="023B1F71" w:rsidR="001404E4" w:rsidRDefault="004D4DA8">
          <w:pPr>
            <w:pStyle w:val="TOC3"/>
            <w:rPr>
              <w:rFonts w:asciiTheme="minorHAnsi" w:eastAsiaTheme="minorEastAsia" w:hAnsiTheme="minorHAnsi" w:cstheme="minorBidi"/>
              <w:noProof/>
              <w:color w:val="auto"/>
              <w:kern w:val="2"/>
              <w14:ligatures w14:val="standardContextual"/>
            </w:rPr>
          </w:pPr>
          <w:hyperlink w:anchor="_Toc151455614" w:history="1">
            <w:r w:rsidR="001404E4" w:rsidRPr="009844D8">
              <w:rPr>
                <w:rStyle w:val="Hyperlink"/>
                <w:rFonts w:ascii="Arial" w:eastAsia="Arial" w:hAnsi="Arial" w:cs="Arial"/>
                <w:noProof/>
              </w:rPr>
              <w:t>8</w:t>
            </w:r>
            <w:r w:rsidR="001404E4">
              <w:rPr>
                <w:rFonts w:asciiTheme="minorHAnsi" w:eastAsiaTheme="minorEastAsia" w:hAnsiTheme="minorHAnsi" w:cstheme="minorBidi"/>
                <w:noProof/>
                <w:color w:val="auto"/>
                <w:kern w:val="2"/>
                <w14:ligatures w14:val="standardContextual"/>
              </w:rPr>
              <w:tab/>
            </w:r>
            <w:r w:rsidR="001404E4" w:rsidRPr="009844D8">
              <w:rPr>
                <w:rStyle w:val="Hyperlink"/>
                <w:rFonts w:ascii="Arial" w:eastAsia="Arial" w:hAnsi="Arial" w:cs="Arial"/>
                <w:noProof/>
              </w:rPr>
              <w:t>Rule 12 of the principal Rules amended</w:t>
            </w:r>
            <w:r w:rsidR="001404E4">
              <w:rPr>
                <w:noProof/>
                <w:webHidden/>
              </w:rPr>
              <w:tab/>
            </w:r>
            <w:r w:rsidR="001404E4">
              <w:rPr>
                <w:noProof/>
                <w:webHidden/>
              </w:rPr>
              <w:fldChar w:fldCharType="begin"/>
            </w:r>
            <w:r w:rsidR="001404E4">
              <w:rPr>
                <w:noProof/>
                <w:webHidden/>
              </w:rPr>
              <w:instrText xml:space="preserve"> PAGEREF _Toc151455614 \h </w:instrText>
            </w:r>
            <w:r w:rsidR="001404E4">
              <w:rPr>
                <w:noProof/>
                <w:webHidden/>
              </w:rPr>
            </w:r>
            <w:r w:rsidR="001404E4">
              <w:rPr>
                <w:noProof/>
                <w:webHidden/>
              </w:rPr>
              <w:fldChar w:fldCharType="separate"/>
            </w:r>
            <w:r w:rsidR="001404E4">
              <w:rPr>
                <w:noProof/>
                <w:webHidden/>
              </w:rPr>
              <w:t>3</w:t>
            </w:r>
            <w:r w:rsidR="001404E4">
              <w:rPr>
                <w:noProof/>
                <w:webHidden/>
              </w:rPr>
              <w:fldChar w:fldCharType="end"/>
            </w:r>
          </w:hyperlink>
        </w:p>
        <w:p w14:paraId="4AE452A4" w14:textId="73D1A2EC" w:rsidR="001404E4" w:rsidRDefault="004D4DA8">
          <w:pPr>
            <w:pStyle w:val="TOC3"/>
            <w:rPr>
              <w:rFonts w:asciiTheme="minorHAnsi" w:eastAsiaTheme="minorEastAsia" w:hAnsiTheme="minorHAnsi" w:cstheme="minorBidi"/>
              <w:noProof/>
              <w:color w:val="auto"/>
              <w:kern w:val="2"/>
              <w14:ligatures w14:val="standardContextual"/>
            </w:rPr>
          </w:pPr>
          <w:hyperlink w:anchor="_Toc151455615" w:history="1">
            <w:r w:rsidR="001404E4" w:rsidRPr="009844D8">
              <w:rPr>
                <w:rStyle w:val="Hyperlink"/>
                <w:rFonts w:ascii="Arial" w:eastAsia="Arial" w:hAnsi="Arial" w:cs="Arial"/>
                <w:noProof/>
              </w:rPr>
              <w:t>9</w:t>
            </w:r>
            <w:r w:rsidR="001404E4">
              <w:rPr>
                <w:rFonts w:asciiTheme="minorHAnsi" w:eastAsiaTheme="minorEastAsia" w:hAnsiTheme="minorHAnsi" w:cstheme="minorBidi"/>
                <w:noProof/>
                <w:color w:val="auto"/>
                <w:kern w:val="2"/>
                <w14:ligatures w14:val="standardContextual"/>
              </w:rPr>
              <w:tab/>
            </w:r>
            <w:r w:rsidR="001404E4" w:rsidRPr="009844D8">
              <w:rPr>
                <w:rStyle w:val="Hyperlink"/>
                <w:rFonts w:ascii="Arial" w:eastAsia="Arial" w:hAnsi="Arial" w:cs="Arial"/>
                <w:noProof/>
              </w:rPr>
              <w:t>Rule 17 of the principal repealed and replaced</w:t>
            </w:r>
            <w:r w:rsidR="001404E4">
              <w:rPr>
                <w:noProof/>
                <w:webHidden/>
              </w:rPr>
              <w:tab/>
            </w:r>
            <w:r w:rsidR="001404E4">
              <w:rPr>
                <w:noProof/>
                <w:webHidden/>
              </w:rPr>
              <w:fldChar w:fldCharType="begin"/>
            </w:r>
            <w:r w:rsidR="001404E4">
              <w:rPr>
                <w:noProof/>
                <w:webHidden/>
              </w:rPr>
              <w:instrText xml:space="preserve"> PAGEREF _Toc151455615 \h </w:instrText>
            </w:r>
            <w:r w:rsidR="001404E4">
              <w:rPr>
                <w:noProof/>
                <w:webHidden/>
              </w:rPr>
            </w:r>
            <w:r w:rsidR="001404E4">
              <w:rPr>
                <w:noProof/>
                <w:webHidden/>
              </w:rPr>
              <w:fldChar w:fldCharType="separate"/>
            </w:r>
            <w:r w:rsidR="001404E4">
              <w:rPr>
                <w:noProof/>
                <w:webHidden/>
              </w:rPr>
              <w:t>3</w:t>
            </w:r>
            <w:r w:rsidR="001404E4">
              <w:rPr>
                <w:noProof/>
                <w:webHidden/>
              </w:rPr>
              <w:fldChar w:fldCharType="end"/>
            </w:r>
          </w:hyperlink>
        </w:p>
        <w:p w14:paraId="34432DD4" w14:textId="2053077A" w:rsidR="001404E4" w:rsidRDefault="004D4DA8">
          <w:pPr>
            <w:pStyle w:val="TOC3"/>
            <w:rPr>
              <w:rFonts w:asciiTheme="minorHAnsi" w:eastAsiaTheme="minorEastAsia" w:hAnsiTheme="minorHAnsi" w:cstheme="minorBidi"/>
              <w:noProof/>
              <w:color w:val="auto"/>
              <w:kern w:val="2"/>
              <w14:ligatures w14:val="standardContextual"/>
            </w:rPr>
          </w:pPr>
          <w:hyperlink w:anchor="_Toc151455616" w:history="1">
            <w:r w:rsidR="001404E4" w:rsidRPr="009844D8">
              <w:rPr>
                <w:rStyle w:val="Hyperlink"/>
                <w:rFonts w:ascii="Arial" w:eastAsia="Arial" w:hAnsi="Arial" w:cs="Arial"/>
                <w:noProof/>
              </w:rPr>
              <w:t>10</w:t>
            </w:r>
            <w:r w:rsidR="001404E4">
              <w:rPr>
                <w:rFonts w:asciiTheme="minorHAnsi" w:eastAsiaTheme="minorEastAsia" w:hAnsiTheme="minorHAnsi" w:cstheme="minorBidi"/>
                <w:noProof/>
                <w:color w:val="auto"/>
                <w:kern w:val="2"/>
                <w14:ligatures w14:val="standardContextual"/>
              </w:rPr>
              <w:tab/>
            </w:r>
            <w:r w:rsidR="001404E4" w:rsidRPr="009844D8">
              <w:rPr>
                <w:rStyle w:val="Hyperlink"/>
                <w:rFonts w:ascii="Arial" w:eastAsia="Arial" w:hAnsi="Arial" w:cs="Arial"/>
                <w:noProof/>
              </w:rPr>
              <w:t>Rule 20 of the principal Rule amended</w:t>
            </w:r>
            <w:r w:rsidR="001404E4">
              <w:rPr>
                <w:noProof/>
                <w:webHidden/>
              </w:rPr>
              <w:tab/>
            </w:r>
            <w:r w:rsidR="001404E4">
              <w:rPr>
                <w:noProof/>
                <w:webHidden/>
              </w:rPr>
              <w:fldChar w:fldCharType="begin"/>
            </w:r>
            <w:r w:rsidR="001404E4">
              <w:rPr>
                <w:noProof/>
                <w:webHidden/>
              </w:rPr>
              <w:instrText xml:space="preserve"> PAGEREF _Toc151455616 \h </w:instrText>
            </w:r>
            <w:r w:rsidR="001404E4">
              <w:rPr>
                <w:noProof/>
                <w:webHidden/>
              </w:rPr>
            </w:r>
            <w:r w:rsidR="001404E4">
              <w:rPr>
                <w:noProof/>
                <w:webHidden/>
              </w:rPr>
              <w:fldChar w:fldCharType="separate"/>
            </w:r>
            <w:r w:rsidR="001404E4">
              <w:rPr>
                <w:noProof/>
                <w:webHidden/>
              </w:rPr>
              <w:t>3</w:t>
            </w:r>
            <w:r w:rsidR="001404E4">
              <w:rPr>
                <w:noProof/>
                <w:webHidden/>
              </w:rPr>
              <w:fldChar w:fldCharType="end"/>
            </w:r>
          </w:hyperlink>
        </w:p>
        <w:p w14:paraId="1041E61A" w14:textId="04684726" w:rsidR="001404E4" w:rsidRDefault="004D4DA8">
          <w:pPr>
            <w:pStyle w:val="TOC3"/>
            <w:rPr>
              <w:rFonts w:asciiTheme="minorHAnsi" w:eastAsiaTheme="minorEastAsia" w:hAnsiTheme="minorHAnsi" w:cstheme="minorBidi"/>
              <w:noProof/>
              <w:color w:val="auto"/>
              <w:kern w:val="2"/>
              <w14:ligatures w14:val="standardContextual"/>
            </w:rPr>
          </w:pPr>
          <w:hyperlink w:anchor="_Toc151455617" w:history="1">
            <w:r w:rsidR="001404E4" w:rsidRPr="009844D8">
              <w:rPr>
                <w:rStyle w:val="Hyperlink"/>
                <w:rFonts w:ascii="Arial" w:eastAsia="Arial" w:hAnsi="Arial" w:cs="Arial"/>
                <w:noProof/>
              </w:rPr>
              <w:t>10</w:t>
            </w:r>
            <w:r w:rsidR="001404E4">
              <w:rPr>
                <w:rFonts w:asciiTheme="minorHAnsi" w:eastAsiaTheme="minorEastAsia" w:hAnsiTheme="minorHAnsi" w:cstheme="minorBidi"/>
                <w:noProof/>
                <w:color w:val="auto"/>
                <w:kern w:val="2"/>
                <w14:ligatures w14:val="standardContextual"/>
              </w:rPr>
              <w:tab/>
            </w:r>
            <w:r w:rsidR="001404E4" w:rsidRPr="009844D8">
              <w:rPr>
                <w:rStyle w:val="Hyperlink"/>
                <w:rFonts w:ascii="Arial" w:eastAsia="Arial" w:hAnsi="Arial" w:cs="Arial"/>
                <w:noProof/>
              </w:rPr>
              <w:t>Rule 20A and 20B of the principal Rule inserted</w:t>
            </w:r>
            <w:r w:rsidR="001404E4">
              <w:rPr>
                <w:noProof/>
                <w:webHidden/>
              </w:rPr>
              <w:tab/>
            </w:r>
            <w:r w:rsidR="001404E4">
              <w:rPr>
                <w:noProof/>
                <w:webHidden/>
              </w:rPr>
              <w:fldChar w:fldCharType="begin"/>
            </w:r>
            <w:r w:rsidR="001404E4">
              <w:rPr>
                <w:noProof/>
                <w:webHidden/>
              </w:rPr>
              <w:instrText xml:space="preserve"> PAGEREF _Toc151455617 \h </w:instrText>
            </w:r>
            <w:r w:rsidR="001404E4">
              <w:rPr>
                <w:noProof/>
                <w:webHidden/>
              </w:rPr>
            </w:r>
            <w:r w:rsidR="001404E4">
              <w:rPr>
                <w:noProof/>
                <w:webHidden/>
              </w:rPr>
              <w:fldChar w:fldCharType="separate"/>
            </w:r>
            <w:r w:rsidR="001404E4">
              <w:rPr>
                <w:noProof/>
                <w:webHidden/>
              </w:rPr>
              <w:t>3</w:t>
            </w:r>
            <w:r w:rsidR="001404E4">
              <w:rPr>
                <w:noProof/>
                <w:webHidden/>
              </w:rPr>
              <w:fldChar w:fldCharType="end"/>
            </w:r>
          </w:hyperlink>
        </w:p>
        <w:p w14:paraId="4B251CE1" w14:textId="52628ABA" w:rsidR="001404E4" w:rsidRDefault="004D4DA8">
          <w:pPr>
            <w:pStyle w:val="TOC3"/>
            <w:rPr>
              <w:rFonts w:asciiTheme="minorHAnsi" w:eastAsiaTheme="minorEastAsia" w:hAnsiTheme="minorHAnsi" w:cstheme="minorBidi"/>
              <w:noProof/>
              <w:color w:val="auto"/>
              <w:kern w:val="2"/>
              <w14:ligatures w14:val="standardContextual"/>
            </w:rPr>
          </w:pPr>
          <w:hyperlink w:anchor="_Toc151455618" w:history="1">
            <w:r w:rsidR="001404E4" w:rsidRPr="009844D8">
              <w:rPr>
                <w:rStyle w:val="Hyperlink"/>
                <w:rFonts w:ascii="Arial" w:eastAsia="Arial" w:hAnsi="Arial" w:cs="Arial"/>
                <w:noProof/>
              </w:rPr>
              <w:t>11</w:t>
            </w:r>
            <w:r w:rsidR="001404E4">
              <w:rPr>
                <w:rFonts w:asciiTheme="minorHAnsi" w:eastAsiaTheme="minorEastAsia" w:hAnsiTheme="minorHAnsi" w:cstheme="minorBidi"/>
                <w:noProof/>
                <w:color w:val="auto"/>
                <w:kern w:val="2"/>
                <w14:ligatures w14:val="standardContextual"/>
              </w:rPr>
              <w:tab/>
            </w:r>
            <w:r w:rsidR="001404E4" w:rsidRPr="009844D8">
              <w:rPr>
                <w:rStyle w:val="Hyperlink"/>
                <w:rFonts w:ascii="Arial" w:eastAsia="Arial" w:hAnsi="Arial" w:cs="Arial"/>
                <w:noProof/>
              </w:rPr>
              <w:t>Rule 21 of the principal Rules amended</w:t>
            </w:r>
            <w:r w:rsidR="001404E4">
              <w:rPr>
                <w:noProof/>
                <w:webHidden/>
              </w:rPr>
              <w:tab/>
            </w:r>
            <w:r w:rsidR="001404E4">
              <w:rPr>
                <w:noProof/>
                <w:webHidden/>
              </w:rPr>
              <w:fldChar w:fldCharType="begin"/>
            </w:r>
            <w:r w:rsidR="001404E4">
              <w:rPr>
                <w:noProof/>
                <w:webHidden/>
              </w:rPr>
              <w:instrText xml:space="preserve"> PAGEREF _Toc151455618 \h </w:instrText>
            </w:r>
            <w:r w:rsidR="001404E4">
              <w:rPr>
                <w:noProof/>
                <w:webHidden/>
              </w:rPr>
            </w:r>
            <w:r w:rsidR="001404E4">
              <w:rPr>
                <w:noProof/>
                <w:webHidden/>
              </w:rPr>
              <w:fldChar w:fldCharType="separate"/>
            </w:r>
            <w:r w:rsidR="001404E4">
              <w:rPr>
                <w:noProof/>
                <w:webHidden/>
              </w:rPr>
              <w:t>4</w:t>
            </w:r>
            <w:r w:rsidR="001404E4">
              <w:rPr>
                <w:noProof/>
                <w:webHidden/>
              </w:rPr>
              <w:fldChar w:fldCharType="end"/>
            </w:r>
          </w:hyperlink>
        </w:p>
        <w:p w14:paraId="69D1CEBC" w14:textId="1B0B4CD6" w:rsidR="001404E4" w:rsidRDefault="004D4DA8">
          <w:pPr>
            <w:pStyle w:val="TOC3"/>
            <w:rPr>
              <w:rFonts w:asciiTheme="minorHAnsi" w:eastAsiaTheme="minorEastAsia" w:hAnsiTheme="minorHAnsi" w:cstheme="minorBidi"/>
              <w:noProof/>
              <w:color w:val="auto"/>
              <w:kern w:val="2"/>
              <w14:ligatures w14:val="standardContextual"/>
            </w:rPr>
          </w:pPr>
          <w:hyperlink w:anchor="_Toc151455619" w:history="1">
            <w:r w:rsidR="001404E4" w:rsidRPr="009844D8">
              <w:rPr>
                <w:rStyle w:val="Hyperlink"/>
                <w:rFonts w:ascii="Arial" w:eastAsia="Arial" w:hAnsi="Arial" w:cs="Arial"/>
                <w:noProof/>
              </w:rPr>
              <w:t>12</w:t>
            </w:r>
            <w:r w:rsidR="001404E4">
              <w:rPr>
                <w:rFonts w:asciiTheme="minorHAnsi" w:eastAsiaTheme="minorEastAsia" w:hAnsiTheme="minorHAnsi" w:cstheme="minorBidi"/>
                <w:noProof/>
                <w:color w:val="auto"/>
                <w:kern w:val="2"/>
                <w14:ligatures w14:val="standardContextual"/>
              </w:rPr>
              <w:tab/>
            </w:r>
            <w:r w:rsidR="001404E4" w:rsidRPr="009844D8">
              <w:rPr>
                <w:rStyle w:val="Hyperlink"/>
                <w:rFonts w:ascii="Arial" w:eastAsia="Arial" w:hAnsi="Arial" w:cs="Arial"/>
                <w:noProof/>
              </w:rPr>
              <w:t>Rule 25 of the principal Rules amended</w:t>
            </w:r>
            <w:r w:rsidR="001404E4">
              <w:rPr>
                <w:noProof/>
                <w:webHidden/>
              </w:rPr>
              <w:tab/>
            </w:r>
            <w:r w:rsidR="001404E4">
              <w:rPr>
                <w:noProof/>
                <w:webHidden/>
              </w:rPr>
              <w:fldChar w:fldCharType="begin"/>
            </w:r>
            <w:r w:rsidR="001404E4">
              <w:rPr>
                <w:noProof/>
                <w:webHidden/>
              </w:rPr>
              <w:instrText xml:space="preserve"> PAGEREF _Toc151455619 \h </w:instrText>
            </w:r>
            <w:r w:rsidR="001404E4">
              <w:rPr>
                <w:noProof/>
                <w:webHidden/>
              </w:rPr>
            </w:r>
            <w:r w:rsidR="001404E4">
              <w:rPr>
                <w:noProof/>
                <w:webHidden/>
              </w:rPr>
              <w:fldChar w:fldCharType="separate"/>
            </w:r>
            <w:r w:rsidR="001404E4">
              <w:rPr>
                <w:noProof/>
                <w:webHidden/>
              </w:rPr>
              <w:t>4</w:t>
            </w:r>
            <w:r w:rsidR="001404E4">
              <w:rPr>
                <w:noProof/>
                <w:webHidden/>
              </w:rPr>
              <w:fldChar w:fldCharType="end"/>
            </w:r>
          </w:hyperlink>
        </w:p>
        <w:p w14:paraId="30F4EAD3" w14:textId="7EB6E85F" w:rsidR="001404E4" w:rsidRDefault="004D4DA8">
          <w:pPr>
            <w:pStyle w:val="TOC3"/>
            <w:rPr>
              <w:rFonts w:asciiTheme="minorHAnsi" w:eastAsiaTheme="minorEastAsia" w:hAnsiTheme="minorHAnsi" w:cstheme="minorBidi"/>
              <w:noProof/>
              <w:color w:val="auto"/>
              <w:kern w:val="2"/>
              <w14:ligatures w14:val="standardContextual"/>
            </w:rPr>
          </w:pPr>
          <w:hyperlink w:anchor="_Toc151455620" w:history="1">
            <w:r w:rsidR="001404E4" w:rsidRPr="009844D8">
              <w:rPr>
                <w:rStyle w:val="Hyperlink"/>
                <w:rFonts w:ascii="Arial" w:eastAsia="Arial" w:hAnsi="Arial" w:cs="Arial"/>
                <w:noProof/>
              </w:rPr>
              <w:t>13</w:t>
            </w:r>
            <w:r w:rsidR="001404E4">
              <w:rPr>
                <w:rFonts w:asciiTheme="minorHAnsi" w:eastAsiaTheme="minorEastAsia" w:hAnsiTheme="minorHAnsi" w:cstheme="minorBidi"/>
                <w:noProof/>
                <w:color w:val="auto"/>
                <w:kern w:val="2"/>
                <w14:ligatures w14:val="standardContextual"/>
              </w:rPr>
              <w:tab/>
            </w:r>
            <w:r w:rsidR="001404E4" w:rsidRPr="009844D8">
              <w:rPr>
                <w:rStyle w:val="Hyperlink"/>
                <w:rFonts w:ascii="Arial" w:eastAsia="Arial" w:hAnsi="Arial" w:cs="Arial"/>
                <w:noProof/>
              </w:rPr>
              <w:t>Rule 30 of the principal Rules amended</w:t>
            </w:r>
            <w:r w:rsidR="001404E4">
              <w:rPr>
                <w:noProof/>
                <w:webHidden/>
              </w:rPr>
              <w:tab/>
            </w:r>
            <w:r w:rsidR="001404E4">
              <w:rPr>
                <w:noProof/>
                <w:webHidden/>
              </w:rPr>
              <w:fldChar w:fldCharType="begin"/>
            </w:r>
            <w:r w:rsidR="001404E4">
              <w:rPr>
                <w:noProof/>
                <w:webHidden/>
              </w:rPr>
              <w:instrText xml:space="preserve"> PAGEREF _Toc151455620 \h </w:instrText>
            </w:r>
            <w:r w:rsidR="001404E4">
              <w:rPr>
                <w:noProof/>
                <w:webHidden/>
              </w:rPr>
            </w:r>
            <w:r w:rsidR="001404E4">
              <w:rPr>
                <w:noProof/>
                <w:webHidden/>
              </w:rPr>
              <w:fldChar w:fldCharType="separate"/>
            </w:r>
            <w:r w:rsidR="001404E4">
              <w:rPr>
                <w:noProof/>
                <w:webHidden/>
              </w:rPr>
              <w:t>4</w:t>
            </w:r>
            <w:r w:rsidR="001404E4">
              <w:rPr>
                <w:noProof/>
                <w:webHidden/>
              </w:rPr>
              <w:fldChar w:fldCharType="end"/>
            </w:r>
          </w:hyperlink>
        </w:p>
        <w:p w14:paraId="3EE1630A" w14:textId="1C8CE6EA" w:rsidR="001404E4" w:rsidRDefault="004D4DA8">
          <w:pPr>
            <w:pStyle w:val="TOC3"/>
            <w:rPr>
              <w:rFonts w:asciiTheme="minorHAnsi" w:eastAsiaTheme="minorEastAsia" w:hAnsiTheme="minorHAnsi" w:cstheme="minorBidi"/>
              <w:noProof/>
              <w:color w:val="auto"/>
              <w:kern w:val="2"/>
              <w14:ligatures w14:val="standardContextual"/>
            </w:rPr>
          </w:pPr>
          <w:hyperlink w:anchor="_Toc151455621" w:history="1">
            <w:r w:rsidR="001404E4" w:rsidRPr="009844D8">
              <w:rPr>
                <w:rStyle w:val="Hyperlink"/>
                <w:rFonts w:ascii="Arial" w:eastAsia="Arial" w:hAnsi="Arial" w:cs="Arial"/>
                <w:noProof/>
              </w:rPr>
              <w:t>14</w:t>
            </w:r>
            <w:r w:rsidR="001404E4">
              <w:rPr>
                <w:rFonts w:asciiTheme="minorHAnsi" w:eastAsiaTheme="minorEastAsia" w:hAnsiTheme="minorHAnsi" w:cstheme="minorBidi"/>
                <w:noProof/>
                <w:color w:val="auto"/>
                <w:kern w:val="2"/>
                <w14:ligatures w14:val="standardContextual"/>
              </w:rPr>
              <w:tab/>
            </w:r>
            <w:r w:rsidR="001404E4" w:rsidRPr="009844D8">
              <w:rPr>
                <w:rStyle w:val="Hyperlink"/>
                <w:rFonts w:ascii="Arial" w:eastAsia="Arial" w:hAnsi="Arial" w:cs="Arial"/>
                <w:noProof/>
              </w:rPr>
              <w:t>Rule 45 of the principal Rules amended</w:t>
            </w:r>
            <w:r w:rsidR="001404E4">
              <w:rPr>
                <w:noProof/>
                <w:webHidden/>
              </w:rPr>
              <w:tab/>
            </w:r>
            <w:r w:rsidR="001404E4">
              <w:rPr>
                <w:noProof/>
                <w:webHidden/>
              </w:rPr>
              <w:fldChar w:fldCharType="begin"/>
            </w:r>
            <w:r w:rsidR="001404E4">
              <w:rPr>
                <w:noProof/>
                <w:webHidden/>
              </w:rPr>
              <w:instrText xml:space="preserve"> PAGEREF _Toc151455621 \h </w:instrText>
            </w:r>
            <w:r w:rsidR="001404E4">
              <w:rPr>
                <w:noProof/>
                <w:webHidden/>
              </w:rPr>
            </w:r>
            <w:r w:rsidR="001404E4">
              <w:rPr>
                <w:noProof/>
                <w:webHidden/>
              </w:rPr>
              <w:fldChar w:fldCharType="separate"/>
            </w:r>
            <w:r w:rsidR="001404E4">
              <w:rPr>
                <w:noProof/>
                <w:webHidden/>
              </w:rPr>
              <w:t>5</w:t>
            </w:r>
            <w:r w:rsidR="001404E4">
              <w:rPr>
                <w:noProof/>
                <w:webHidden/>
              </w:rPr>
              <w:fldChar w:fldCharType="end"/>
            </w:r>
          </w:hyperlink>
        </w:p>
        <w:p w14:paraId="67A14DEC" w14:textId="211CB946" w:rsidR="001404E4" w:rsidRDefault="004D4DA8">
          <w:pPr>
            <w:pStyle w:val="TOC3"/>
            <w:rPr>
              <w:rFonts w:asciiTheme="minorHAnsi" w:eastAsiaTheme="minorEastAsia" w:hAnsiTheme="minorHAnsi" w:cstheme="minorBidi"/>
              <w:noProof/>
              <w:color w:val="auto"/>
              <w:kern w:val="2"/>
              <w14:ligatures w14:val="standardContextual"/>
            </w:rPr>
          </w:pPr>
          <w:hyperlink w:anchor="_Toc151455622" w:history="1">
            <w:r w:rsidR="001404E4" w:rsidRPr="009844D8">
              <w:rPr>
                <w:rStyle w:val="Hyperlink"/>
                <w:rFonts w:ascii="Arial" w:eastAsia="Arial" w:hAnsi="Arial" w:cs="Arial"/>
                <w:noProof/>
              </w:rPr>
              <w:t>15</w:t>
            </w:r>
            <w:r w:rsidR="001404E4">
              <w:rPr>
                <w:rFonts w:asciiTheme="minorHAnsi" w:eastAsiaTheme="minorEastAsia" w:hAnsiTheme="minorHAnsi" w:cstheme="minorBidi"/>
                <w:noProof/>
                <w:color w:val="auto"/>
                <w:kern w:val="2"/>
                <w14:ligatures w14:val="standardContextual"/>
              </w:rPr>
              <w:tab/>
            </w:r>
            <w:r w:rsidR="001404E4" w:rsidRPr="009844D8">
              <w:rPr>
                <w:rStyle w:val="Hyperlink"/>
                <w:rFonts w:ascii="Arial" w:eastAsia="Arial" w:hAnsi="Arial" w:cs="Arial"/>
                <w:noProof/>
              </w:rPr>
              <w:t>Commencement</w:t>
            </w:r>
            <w:r w:rsidR="001404E4">
              <w:rPr>
                <w:noProof/>
                <w:webHidden/>
              </w:rPr>
              <w:tab/>
            </w:r>
            <w:r w:rsidR="001404E4">
              <w:rPr>
                <w:noProof/>
                <w:webHidden/>
              </w:rPr>
              <w:fldChar w:fldCharType="begin"/>
            </w:r>
            <w:r w:rsidR="001404E4">
              <w:rPr>
                <w:noProof/>
                <w:webHidden/>
              </w:rPr>
              <w:instrText xml:space="preserve"> PAGEREF _Toc151455622 \h </w:instrText>
            </w:r>
            <w:r w:rsidR="001404E4">
              <w:rPr>
                <w:noProof/>
                <w:webHidden/>
              </w:rPr>
            </w:r>
            <w:r w:rsidR="001404E4">
              <w:rPr>
                <w:noProof/>
                <w:webHidden/>
              </w:rPr>
              <w:fldChar w:fldCharType="separate"/>
            </w:r>
            <w:r w:rsidR="001404E4">
              <w:rPr>
                <w:noProof/>
                <w:webHidden/>
              </w:rPr>
              <w:t>5</w:t>
            </w:r>
            <w:r w:rsidR="001404E4">
              <w:rPr>
                <w:noProof/>
                <w:webHidden/>
              </w:rPr>
              <w:fldChar w:fldCharType="end"/>
            </w:r>
          </w:hyperlink>
        </w:p>
        <w:p w14:paraId="2EBF0A4C" w14:textId="32374807" w:rsidR="009F7E09" w:rsidRDefault="009F7E09">
          <w:r>
            <w:rPr>
              <w:b/>
              <w:bCs/>
              <w:noProof/>
            </w:rPr>
            <w:fldChar w:fldCharType="end"/>
          </w:r>
        </w:p>
      </w:sdtContent>
    </w:sdt>
    <w:p w14:paraId="0C7AA34D" w14:textId="24377C3F" w:rsidR="00405783" w:rsidRPr="00C57761" w:rsidRDefault="00405783"/>
    <w:p w14:paraId="240BF323" w14:textId="5C2EFDA1" w:rsidR="00405783" w:rsidRDefault="00405783">
      <w:pPr>
        <w:spacing w:after="160" w:line="259" w:lineRule="auto"/>
        <w:ind w:left="0" w:right="0" w:firstLine="0"/>
        <w:jc w:val="left"/>
        <w:rPr>
          <w:b/>
        </w:rPr>
      </w:pPr>
      <w:r>
        <w:rPr>
          <w:b/>
        </w:rPr>
        <w:br w:type="page"/>
      </w:r>
    </w:p>
    <w:p w14:paraId="54692756" w14:textId="44F9B3CA" w:rsidR="00D92462" w:rsidRDefault="00B32F86">
      <w:pPr>
        <w:spacing w:after="404" w:line="250" w:lineRule="auto"/>
        <w:ind w:left="588" w:right="1150" w:hanging="10"/>
        <w:jc w:val="center"/>
        <w:rPr>
          <w:rFonts w:ascii="Arial" w:hAnsi="Arial" w:cs="Arial"/>
          <w:b/>
        </w:rPr>
      </w:pPr>
      <w:r w:rsidRPr="00B66184">
        <w:rPr>
          <w:rFonts w:ascii="Arial" w:hAnsi="Arial" w:cs="Arial"/>
          <w:b/>
        </w:rPr>
        <w:lastRenderedPageBreak/>
        <w:t>SECURITIES (</w:t>
      </w:r>
      <w:r w:rsidR="0084338E">
        <w:rPr>
          <w:rFonts w:ascii="Arial" w:hAnsi="Arial" w:cs="Arial"/>
          <w:b/>
        </w:rPr>
        <w:t>TAKEOVER</w:t>
      </w:r>
      <w:r w:rsidR="007B6A61">
        <w:rPr>
          <w:rFonts w:ascii="Arial" w:hAnsi="Arial" w:cs="Arial"/>
          <w:b/>
        </w:rPr>
        <w:t xml:space="preserve">) </w:t>
      </w:r>
      <w:r w:rsidR="0084338E">
        <w:rPr>
          <w:rFonts w:ascii="Arial" w:hAnsi="Arial" w:cs="Arial"/>
          <w:b/>
        </w:rPr>
        <w:t>(AMENDMENT)</w:t>
      </w:r>
      <w:r w:rsidR="00C950FB">
        <w:rPr>
          <w:rFonts w:ascii="Arial" w:hAnsi="Arial" w:cs="Arial"/>
          <w:b/>
        </w:rPr>
        <w:t xml:space="preserve"> </w:t>
      </w:r>
      <w:r w:rsidR="009B3FA1">
        <w:rPr>
          <w:rFonts w:ascii="Arial" w:hAnsi="Arial" w:cs="Arial"/>
          <w:b/>
        </w:rPr>
        <w:t>R</w:t>
      </w:r>
      <w:r w:rsidR="007B6A61">
        <w:rPr>
          <w:rFonts w:ascii="Arial" w:hAnsi="Arial" w:cs="Arial"/>
          <w:b/>
        </w:rPr>
        <w:t>ULES</w:t>
      </w:r>
      <w:r w:rsidR="0076386A" w:rsidRPr="00B66184">
        <w:rPr>
          <w:rFonts w:ascii="Arial" w:hAnsi="Arial" w:cs="Arial"/>
          <w:b/>
        </w:rPr>
        <w:t xml:space="preserve"> </w:t>
      </w:r>
      <w:r w:rsidRPr="00B66184">
        <w:rPr>
          <w:rFonts w:ascii="Arial" w:hAnsi="Arial" w:cs="Arial"/>
          <w:b/>
        </w:rPr>
        <w:t>2023</w:t>
      </w:r>
      <w:r w:rsidR="0076386A" w:rsidRPr="00B66184">
        <w:rPr>
          <w:rFonts w:ascii="Arial" w:hAnsi="Arial" w:cs="Arial"/>
          <w:b/>
        </w:rPr>
        <w:t xml:space="preserve"> </w:t>
      </w:r>
    </w:p>
    <w:p w14:paraId="1B7CCD57" w14:textId="2471A1F1" w:rsidR="00B543C4" w:rsidRDefault="00B543C4">
      <w:pPr>
        <w:spacing w:after="404" w:line="250" w:lineRule="auto"/>
        <w:ind w:left="588" w:right="1150" w:hanging="10"/>
        <w:jc w:val="center"/>
        <w:rPr>
          <w:rFonts w:ascii="Arial" w:hAnsi="Arial" w:cs="Arial"/>
          <w:b/>
        </w:rPr>
      </w:pPr>
      <w:r w:rsidRPr="00B543C4">
        <w:rPr>
          <w:rFonts w:ascii="Arial" w:hAnsi="Arial" w:cs="Arial"/>
          <w:b/>
        </w:rPr>
        <w:t xml:space="preserve">FSC Rules made by the Financial Services Commission under Section 93 of the Financial Services Act </w:t>
      </w:r>
      <w:r w:rsidR="003E249D">
        <w:rPr>
          <w:rFonts w:ascii="Arial" w:hAnsi="Arial" w:cs="Arial"/>
          <w:b/>
        </w:rPr>
        <w:t xml:space="preserve">2007 </w:t>
      </w:r>
      <w:r w:rsidRPr="00B543C4">
        <w:rPr>
          <w:rFonts w:ascii="Arial" w:hAnsi="Arial" w:cs="Arial"/>
          <w:b/>
        </w:rPr>
        <w:t>and Section 155 of the Securities Act</w:t>
      </w:r>
      <w:r w:rsidR="003E249D">
        <w:rPr>
          <w:rFonts w:ascii="Arial" w:hAnsi="Arial" w:cs="Arial"/>
          <w:b/>
        </w:rPr>
        <w:t xml:space="preserve"> 2005</w:t>
      </w:r>
      <w:r w:rsidRPr="00B543C4">
        <w:rPr>
          <w:rFonts w:ascii="Arial" w:hAnsi="Arial" w:cs="Arial"/>
          <w:b/>
        </w:rPr>
        <w:t>.</w:t>
      </w:r>
    </w:p>
    <w:p w14:paraId="2847AB59" w14:textId="6AA1369B" w:rsidR="00DB6E58" w:rsidRPr="00441EF3" w:rsidRDefault="00DB6E58" w:rsidP="00DB6E58">
      <w:pPr>
        <w:pStyle w:val="iLAWS300Article"/>
        <w:rPr>
          <w:rFonts w:ascii="Arial" w:hAnsi="Arial" w:cs="Arial"/>
        </w:rPr>
      </w:pPr>
      <w:bookmarkStart w:id="0" w:name="_Toc151455607"/>
      <w:bookmarkStart w:id="1" w:name="_Toc121091710"/>
      <w:bookmarkStart w:id="2" w:name="_Toc136474856"/>
      <w:r>
        <w:rPr>
          <w:rFonts w:ascii="Arial" w:eastAsia="Arial" w:hAnsi="Arial" w:cs="Arial"/>
        </w:rPr>
        <w:t>1</w:t>
      </w:r>
      <w:r w:rsidRPr="00441EF3">
        <w:rPr>
          <w:rFonts w:ascii="Arial" w:eastAsia="Arial" w:hAnsi="Arial" w:cs="Arial"/>
        </w:rPr>
        <w:tab/>
      </w:r>
      <w:r w:rsidR="004E3B62">
        <w:rPr>
          <w:rFonts w:ascii="Arial" w:eastAsia="Arial" w:hAnsi="Arial" w:cs="Arial"/>
        </w:rPr>
        <w:t>Citation</w:t>
      </w:r>
      <w:bookmarkEnd w:id="0"/>
    </w:p>
    <w:bookmarkEnd w:id="1"/>
    <w:bookmarkEnd w:id="2"/>
    <w:p w14:paraId="3FC9B7D6" w14:textId="7369E913" w:rsidR="00877530" w:rsidRPr="00956BB0" w:rsidRDefault="00C277D3" w:rsidP="00877530">
      <w:pPr>
        <w:pStyle w:val="iLAWS301Paragraphunnumbered"/>
      </w:pPr>
      <w:r w:rsidRPr="00C277D3">
        <w:t xml:space="preserve">This Act may be cited as the </w:t>
      </w:r>
      <w:bookmarkStart w:id="3" w:name="_Hlk148313490"/>
      <w:r w:rsidRPr="00C277D3">
        <w:t>Securities (</w:t>
      </w:r>
      <w:r w:rsidR="00316BB5">
        <w:t>Takeover</w:t>
      </w:r>
      <w:r w:rsidRPr="00C277D3">
        <w:t>)</w:t>
      </w:r>
      <w:r w:rsidR="00316BB5">
        <w:t xml:space="preserve"> (Amendment)</w:t>
      </w:r>
      <w:r w:rsidRPr="00C277D3">
        <w:t xml:space="preserve"> </w:t>
      </w:r>
      <w:r w:rsidR="007C68AC">
        <w:t>Rules</w:t>
      </w:r>
      <w:r w:rsidRPr="00C277D3">
        <w:t xml:space="preserve"> 2023</w:t>
      </w:r>
      <w:bookmarkEnd w:id="3"/>
      <w:r w:rsidR="00877530" w:rsidRPr="00956BB0">
        <w:t>.</w:t>
      </w:r>
    </w:p>
    <w:p w14:paraId="02B908A3" w14:textId="2E5BEBB3" w:rsidR="004311C2" w:rsidRPr="00441EF3" w:rsidRDefault="004311C2" w:rsidP="004311C2">
      <w:pPr>
        <w:pStyle w:val="iLAWS300Article"/>
        <w:rPr>
          <w:rFonts w:ascii="Arial" w:hAnsi="Arial" w:cs="Arial"/>
        </w:rPr>
      </w:pPr>
      <w:bookmarkStart w:id="4" w:name="_Toc151455608"/>
      <w:bookmarkStart w:id="5" w:name="_Toc121091711"/>
      <w:bookmarkStart w:id="6" w:name="_Toc136474857"/>
      <w:r>
        <w:rPr>
          <w:rFonts w:ascii="Arial" w:eastAsia="Arial" w:hAnsi="Arial" w:cs="Arial"/>
        </w:rPr>
        <w:t>2</w:t>
      </w:r>
      <w:r w:rsidRPr="00441EF3">
        <w:rPr>
          <w:rFonts w:ascii="Arial" w:eastAsia="Arial" w:hAnsi="Arial" w:cs="Arial"/>
        </w:rPr>
        <w:tab/>
      </w:r>
      <w:r w:rsidR="00DD2C85">
        <w:rPr>
          <w:rFonts w:ascii="Arial" w:eastAsia="Arial" w:hAnsi="Arial" w:cs="Arial"/>
        </w:rPr>
        <w:t>Interpretation</w:t>
      </w:r>
      <w:bookmarkEnd w:id="4"/>
    </w:p>
    <w:bookmarkEnd w:id="5"/>
    <w:bookmarkEnd w:id="6"/>
    <w:p w14:paraId="15EC9FE8" w14:textId="433BAE2E" w:rsidR="00D316FD" w:rsidRDefault="00DE3CD5" w:rsidP="00316BB5">
      <w:pPr>
        <w:pStyle w:val="iLAWS301Paragraphunnumbered"/>
      </w:pPr>
      <w:r w:rsidRPr="00DE3CD5">
        <w:t>In th</w:t>
      </w:r>
      <w:r w:rsidR="007C68AC">
        <w:t>es</w:t>
      </w:r>
      <w:r w:rsidR="00F23E21">
        <w:t>e</w:t>
      </w:r>
      <w:r w:rsidR="007C68AC">
        <w:t xml:space="preserve"> Rules </w:t>
      </w:r>
      <w:r w:rsidR="00C145A9">
        <w:t>“</w:t>
      </w:r>
      <w:r w:rsidR="00316BB5">
        <w:t>principal Rules</w:t>
      </w:r>
      <w:r w:rsidR="00347C3D">
        <w:t>”</w:t>
      </w:r>
      <w:r w:rsidR="00316BB5">
        <w:t xml:space="preserve"> means the </w:t>
      </w:r>
      <w:r w:rsidR="00316BB5" w:rsidRPr="00316BB5">
        <w:t>Securities (Takeover) Rules 20</w:t>
      </w:r>
      <w:r w:rsidR="00347C3D">
        <w:t>1</w:t>
      </w:r>
      <w:r w:rsidR="00316BB5">
        <w:t>0</w:t>
      </w:r>
      <w:r w:rsidR="00347C3D">
        <w:t xml:space="preserve">. </w:t>
      </w:r>
    </w:p>
    <w:p w14:paraId="3F71B3C5" w14:textId="77777777" w:rsidR="00C97F13" w:rsidRDefault="0025245E" w:rsidP="0025245E">
      <w:pPr>
        <w:pStyle w:val="iLAWS300Article"/>
        <w:rPr>
          <w:rFonts w:ascii="Arial" w:eastAsia="Arial" w:hAnsi="Arial" w:cs="Arial"/>
        </w:rPr>
      </w:pPr>
      <w:bookmarkStart w:id="7" w:name="_Toc151455609"/>
      <w:bookmarkStart w:id="8" w:name="_Hlk147888467"/>
      <w:r>
        <w:rPr>
          <w:rFonts w:ascii="Arial" w:eastAsia="Arial" w:hAnsi="Arial" w:cs="Arial"/>
        </w:rPr>
        <w:t>3</w:t>
      </w:r>
      <w:r w:rsidRPr="00441EF3">
        <w:rPr>
          <w:rFonts w:ascii="Arial" w:eastAsia="Arial" w:hAnsi="Arial" w:cs="Arial"/>
        </w:rPr>
        <w:tab/>
      </w:r>
      <w:r w:rsidR="00347C3D">
        <w:rPr>
          <w:rFonts w:ascii="Arial" w:eastAsia="Arial" w:hAnsi="Arial" w:cs="Arial"/>
        </w:rPr>
        <w:t xml:space="preserve">Rule </w:t>
      </w:r>
      <w:r w:rsidR="00C97F13">
        <w:rPr>
          <w:rFonts w:ascii="Arial" w:eastAsia="Arial" w:hAnsi="Arial" w:cs="Arial"/>
        </w:rPr>
        <w:t>2 of the principal Rules amended</w:t>
      </w:r>
      <w:bookmarkEnd w:id="7"/>
    </w:p>
    <w:bookmarkEnd w:id="8"/>
    <w:p w14:paraId="019FB7C3" w14:textId="5D7D2093" w:rsidR="005C76D7" w:rsidRDefault="00C97F13" w:rsidP="00065394">
      <w:pPr>
        <w:pStyle w:val="iLAWS301Paragraphunnumbered"/>
        <w:ind w:left="1437" w:hanging="870"/>
      </w:pPr>
      <w:r>
        <w:t xml:space="preserve">Rule 2 </w:t>
      </w:r>
      <w:r w:rsidR="00FB5153">
        <w:t>o</w:t>
      </w:r>
      <w:r>
        <w:t>f the prin</w:t>
      </w:r>
      <w:r w:rsidR="005C76D7">
        <w:t>c</w:t>
      </w:r>
      <w:r>
        <w:t xml:space="preserve">ipal Rules is </w:t>
      </w:r>
      <w:r w:rsidR="005C76D7">
        <w:t>amended</w:t>
      </w:r>
      <w:bookmarkStart w:id="9" w:name="_Hlk148315402"/>
      <w:r w:rsidR="005C76D7">
        <w:t xml:space="preserve">— </w:t>
      </w:r>
      <w:bookmarkEnd w:id="9"/>
    </w:p>
    <w:p w14:paraId="3769785D" w14:textId="643B4992" w:rsidR="00932607" w:rsidRDefault="00374C3A" w:rsidP="00932607">
      <w:pPr>
        <w:pStyle w:val="iLAWS301Paragraphunnumbered"/>
        <w:numPr>
          <w:ilvl w:val="0"/>
          <w:numId w:val="25"/>
        </w:numPr>
      </w:pPr>
      <w:r>
        <w:t>by inserting after the definition of the word “Act” the following definition</w:t>
      </w:r>
    </w:p>
    <w:p w14:paraId="79F0BB3C" w14:textId="639DD51C" w:rsidR="0091795B" w:rsidRPr="000C5BF5" w:rsidRDefault="00932607" w:rsidP="0091795B">
      <w:pPr>
        <w:pStyle w:val="iLAWS301Paragraphunnumbered"/>
        <w:ind w:left="1437"/>
      </w:pPr>
      <w:r>
        <w:t>“</w:t>
      </w:r>
      <w:r w:rsidR="000C5BF5" w:rsidRPr="000C5BF5">
        <w:t>associate</w:t>
      </w:r>
      <w:r>
        <w:t>”</w:t>
      </w:r>
      <w:r w:rsidR="000C5BF5" w:rsidRPr="000C5BF5">
        <w:t xml:space="preserve"> </w:t>
      </w:r>
      <w:r>
        <w:t>means a</w:t>
      </w:r>
      <w:r w:rsidR="000C5BF5" w:rsidRPr="000C5BF5">
        <w:t xml:space="preserve"> person (whether or not acting in concert with the offeror, offeree or with one another) who directly or indirectly own, or deal in, the shares of the offeror or offeree in a take-over or merger transaction and who have (in addition to their normal interests as shareholders) an interest or potential interest, whether commercial, financial or personal, in the outcome of the offer</w:t>
      </w:r>
      <w:r w:rsidR="0091795B">
        <w:t>.”.</w:t>
      </w:r>
    </w:p>
    <w:p w14:paraId="75B8D9EE" w14:textId="2FD1DCEF" w:rsidR="00E2712C" w:rsidRDefault="00A71D84" w:rsidP="005C76D7">
      <w:pPr>
        <w:pStyle w:val="iLAWS301Paragraphunnumbered"/>
        <w:ind w:left="1985" w:hanging="548"/>
        <w:rPr>
          <w:bCs/>
        </w:rPr>
      </w:pPr>
      <w:r w:rsidRPr="00A71D84">
        <w:rPr>
          <w:bCs/>
        </w:rPr>
        <w:t>(b)</w:t>
      </w:r>
      <w:r w:rsidRPr="00A71D84">
        <w:rPr>
          <w:bCs/>
        </w:rPr>
        <w:tab/>
        <w:t>by inserting after the de</w:t>
      </w:r>
      <w:r>
        <w:rPr>
          <w:bCs/>
        </w:rPr>
        <w:t xml:space="preserve">finition </w:t>
      </w:r>
      <w:r w:rsidR="009D33A0">
        <w:rPr>
          <w:bCs/>
        </w:rPr>
        <w:t>“inve</w:t>
      </w:r>
      <w:r w:rsidR="00E2712C">
        <w:rPr>
          <w:bCs/>
        </w:rPr>
        <w:t>stment adviser” the following definition</w:t>
      </w:r>
      <w:r w:rsidR="008D09A7">
        <w:t>—</w:t>
      </w:r>
    </w:p>
    <w:p w14:paraId="62277A3C" w14:textId="58964723" w:rsidR="00A71D84" w:rsidRPr="00A71D84" w:rsidRDefault="00E2712C" w:rsidP="005C76D7">
      <w:pPr>
        <w:pStyle w:val="iLAWS301Paragraphunnumbered"/>
        <w:ind w:left="1985" w:hanging="548"/>
        <w:rPr>
          <w:bCs/>
        </w:rPr>
      </w:pPr>
      <w:r>
        <w:rPr>
          <w:bCs/>
        </w:rPr>
        <w:tab/>
        <w:t>“</w:t>
      </w:r>
      <w:r w:rsidR="00175424">
        <w:rPr>
          <w:bCs/>
        </w:rPr>
        <w:t xml:space="preserve"> </w:t>
      </w:r>
      <w:r w:rsidR="00175424" w:rsidRPr="00175424">
        <w:rPr>
          <w:bCs/>
        </w:rPr>
        <w:t>“listed company” has the same meaning as in the Securities Act;</w:t>
      </w:r>
      <w:r w:rsidR="00175424">
        <w:rPr>
          <w:bCs/>
        </w:rPr>
        <w:t>”</w:t>
      </w:r>
      <w:r w:rsidR="003B026A">
        <w:rPr>
          <w:bCs/>
        </w:rPr>
        <w:t>.</w:t>
      </w:r>
    </w:p>
    <w:p w14:paraId="7EBDE31F" w14:textId="77777777" w:rsidR="00430983" w:rsidRDefault="002B01C1" w:rsidP="00C3679A">
      <w:pPr>
        <w:pStyle w:val="iLAWS300Article"/>
        <w:rPr>
          <w:rFonts w:ascii="Arial" w:eastAsia="Arial" w:hAnsi="Arial" w:cs="Arial"/>
        </w:rPr>
      </w:pPr>
      <w:bookmarkStart w:id="10" w:name="_Toc151455610"/>
      <w:r>
        <w:rPr>
          <w:rFonts w:ascii="Arial" w:eastAsia="Arial" w:hAnsi="Arial" w:cs="Arial"/>
        </w:rPr>
        <w:t>4</w:t>
      </w:r>
      <w:r w:rsidR="00C3679A" w:rsidRPr="00441EF3">
        <w:rPr>
          <w:rFonts w:ascii="Arial" w:eastAsia="Arial" w:hAnsi="Arial" w:cs="Arial"/>
        </w:rPr>
        <w:tab/>
      </w:r>
      <w:r>
        <w:rPr>
          <w:rFonts w:ascii="Arial" w:eastAsia="Arial" w:hAnsi="Arial" w:cs="Arial"/>
        </w:rPr>
        <w:t xml:space="preserve">Rule </w:t>
      </w:r>
      <w:r w:rsidR="00175424">
        <w:rPr>
          <w:rFonts w:ascii="Arial" w:eastAsia="Arial" w:hAnsi="Arial" w:cs="Arial"/>
        </w:rPr>
        <w:t>3 of the princi</w:t>
      </w:r>
      <w:r w:rsidR="00430983">
        <w:rPr>
          <w:rFonts w:ascii="Arial" w:eastAsia="Arial" w:hAnsi="Arial" w:cs="Arial"/>
        </w:rPr>
        <w:t>pal Rules amended</w:t>
      </w:r>
      <w:bookmarkEnd w:id="10"/>
    </w:p>
    <w:p w14:paraId="2594A98E" w14:textId="6314FBC5" w:rsidR="002D02A2" w:rsidRDefault="00194D3B" w:rsidP="002D02A2">
      <w:pPr>
        <w:pStyle w:val="iLAWS301Paragraphunnumbered"/>
      </w:pPr>
      <w:r>
        <w:t xml:space="preserve">Rule 3 of the principal Rules is amended </w:t>
      </w:r>
      <w:r w:rsidR="00001FD0">
        <w:t xml:space="preserve">in paragraph (1) by </w:t>
      </w:r>
      <w:r w:rsidR="002D02A2">
        <w:t>inserting after the words “reporting issuer” the words “or listed company”.</w:t>
      </w:r>
    </w:p>
    <w:p w14:paraId="5089AEAF" w14:textId="53292905" w:rsidR="00B42026" w:rsidRDefault="00EA5B3B" w:rsidP="00704C07">
      <w:pPr>
        <w:pStyle w:val="iLAWS300Article"/>
        <w:rPr>
          <w:rFonts w:ascii="Arial" w:eastAsia="Arial" w:hAnsi="Arial" w:cs="Arial"/>
        </w:rPr>
      </w:pPr>
      <w:bookmarkStart w:id="11" w:name="_Toc151455611"/>
      <w:r>
        <w:rPr>
          <w:rFonts w:ascii="Arial" w:eastAsia="Arial" w:hAnsi="Arial" w:cs="Arial"/>
        </w:rPr>
        <w:t>5</w:t>
      </w:r>
      <w:r w:rsidR="00704C07" w:rsidRPr="00441EF3">
        <w:rPr>
          <w:rFonts w:ascii="Arial" w:eastAsia="Arial" w:hAnsi="Arial" w:cs="Arial"/>
        </w:rPr>
        <w:tab/>
      </w:r>
      <w:r w:rsidR="00B42026">
        <w:rPr>
          <w:rFonts w:ascii="Arial" w:eastAsia="Arial" w:hAnsi="Arial" w:cs="Arial"/>
        </w:rPr>
        <w:t>Rule 9 of the pr</w:t>
      </w:r>
      <w:r w:rsidR="0011478C">
        <w:rPr>
          <w:rFonts w:ascii="Arial" w:eastAsia="Arial" w:hAnsi="Arial" w:cs="Arial"/>
        </w:rPr>
        <w:t>i</w:t>
      </w:r>
      <w:r w:rsidR="00B42026">
        <w:rPr>
          <w:rFonts w:ascii="Arial" w:eastAsia="Arial" w:hAnsi="Arial" w:cs="Arial"/>
        </w:rPr>
        <w:t>ncip</w:t>
      </w:r>
      <w:r w:rsidR="0011478C">
        <w:rPr>
          <w:rFonts w:ascii="Arial" w:eastAsia="Arial" w:hAnsi="Arial" w:cs="Arial"/>
        </w:rPr>
        <w:t>a</w:t>
      </w:r>
      <w:r w:rsidR="00B42026">
        <w:rPr>
          <w:rFonts w:ascii="Arial" w:eastAsia="Arial" w:hAnsi="Arial" w:cs="Arial"/>
        </w:rPr>
        <w:t>l Rules repealed and replaced</w:t>
      </w:r>
      <w:bookmarkEnd w:id="11"/>
    </w:p>
    <w:p w14:paraId="3394F5A1" w14:textId="77777777" w:rsidR="00BF4FCF" w:rsidRDefault="00B42026" w:rsidP="000A149E">
      <w:pPr>
        <w:pStyle w:val="iLAWS301Paragraphunnumbered"/>
      </w:pPr>
      <w:r>
        <w:t>Rule 9 of the principal Rules is repealed and replaced by the following Rule</w:t>
      </w:r>
      <w:r w:rsidR="00BF4FCF">
        <w:t>—</w:t>
      </w:r>
    </w:p>
    <w:p w14:paraId="33BEEA20" w14:textId="3CC43F84" w:rsidR="00CF4EEC" w:rsidRPr="003B026A" w:rsidRDefault="003B026A" w:rsidP="003B026A">
      <w:pPr>
        <w:tabs>
          <w:tab w:val="left" w:pos="1134"/>
        </w:tabs>
        <w:ind w:firstLine="559"/>
        <w:rPr>
          <w:b/>
          <w:bCs/>
        </w:rPr>
      </w:pPr>
      <w:r w:rsidRPr="003B026A">
        <w:rPr>
          <w:b/>
          <w:bCs/>
        </w:rPr>
        <w:t>“9</w:t>
      </w:r>
      <w:r w:rsidRPr="003B026A">
        <w:rPr>
          <w:b/>
          <w:bCs/>
        </w:rPr>
        <w:tab/>
      </w:r>
      <w:r w:rsidR="00CF4EEC" w:rsidRPr="003B026A">
        <w:rPr>
          <w:b/>
          <w:bCs/>
        </w:rPr>
        <w:t>Firm intention to the board of the offeree</w:t>
      </w:r>
    </w:p>
    <w:p w14:paraId="3E28A61E" w14:textId="633AF35B" w:rsidR="00CF4EEC" w:rsidRPr="00CF4EEC" w:rsidRDefault="00CF4EEC" w:rsidP="003B026A">
      <w:pPr>
        <w:spacing w:after="0" w:line="240" w:lineRule="auto"/>
        <w:ind w:left="1701" w:right="0" w:hanging="567"/>
        <w:rPr>
          <w:kern w:val="2"/>
          <w:sz w:val="24"/>
          <w14:ligatures w14:val="standardContextual"/>
        </w:rPr>
      </w:pPr>
      <w:r w:rsidRPr="00CF4EEC">
        <w:rPr>
          <w:kern w:val="2"/>
          <w:sz w:val="24"/>
          <w14:ligatures w14:val="standardContextual"/>
        </w:rPr>
        <w:t>(1)</w:t>
      </w:r>
      <w:r w:rsidRPr="00CF4EEC">
        <w:rPr>
          <w:kern w:val="2"/>
          <w:sz w:val="24"/>
          <w14:ligatures w14:val="standardContextual"/>
        </w:rPr>
        <w:tab/>
        <w:t>The offero</w:t>
      </w:r>
      <w:r>
        <w:rPr>
          <w:kern w:val="2"/>
          <w:sz w:val="24"/>
          <w14:ligatures w14:val="standardContextual"/>
        </w:rPr>
        <w:t>r</w:t>
      </w:r>
      <w:r w:rsidRPr="00CF4EEC">
        <w:rPr>
          <w:kern w:val="2"/>
          <w:sz w:val="24"/>
          <w14:ligatures w14:val="standardContextual"/>
        </w:rPr>
        <w:t xml:space="preserve"> shall communicate its firm intention to make an offer to the board of the offeree to the Commission and to the relevant securities exchange, after careful and responsible consideration by the offeror and if the offeror believes it can implement the offer.</w:t>
      </w:r>
    </w:p>
    <w:p w14:paraId="3879943B" w14:textId="46F61244" w:rsidR="00CF4EEC" w:rsidRPr="00CF4EEC" w:rsidRDefault="00CF4EEC" w:rsidP="003B026A">
      <w:pPr>
        <w:spacing w:after="0" w:line="240" w:lineRule="auto"/>
        <w:ind w:left="1701" w:right="0" w:hanging="567"/>
        <w:rPr>
          <w:kern w:val="2"/>
          <w:sz w:val="24"/>
          <w14:ligatures w14:val="standardContextual"/>
        </w:rPr>
      </w:pPr>
      <w:r w:rsidRPr="00CF4EEC">
        <w:rPr>
          <w:kern w:val="2"/>
          <w:sz w:val="24"/>
          <w14:ligatures w14:val="standardContextual"/>
        </w:rPr>
        <w:t>(2)</w:t>
      </w:r>
      <w:r w:rsidRPr="00CF4EEC">
        <w:rPr>
          <w:kern w:val="2"/>
          <w:sz w:val="24"/>
          <w14:ligatures w14:val="standardContextual"/>
        </w:rPr>
        <w:tab/>
        <w:t>A waiver from the requirements of paragraph (1) may be granted by the Commission in the circumstances set out in guidance issued by the Commission.</w:t>
      </w:r>
      <w:r>
        <w:rPr>
          <w:kern w:val="2"/>
          <w:sz w:val="24"/>
          <w14:ligatures w14:val="standardContextual"/>
        </w:rPr>
        <w:t>”.</w:t>
      </w:r>
    </w:p>
    <w:p w14:paraId="208C35AE" w14:textId="3979C3AB" w:rsidR="002A1B2B" w:rsidRDefault="00EA5B3B" w:rsidP="00572CCD">
      <w:pPr>
        <w:pStyle w:val="iLAWS300Article"/>
        <w:rPr>
          <w:rFonts w:ascii="Arial" w:eastAsia="Arial" w:hAnsi="Arial" w:cs="Arial"/>
        </w:rPr>
      </w:pPr>
      <w:bookmarkStart w:id="12" w:name="_Toc151455612"/>
      <w:r>
        <w:rPr>
          <w:rFonts w:ascii="Arial" w:eastAsia="Arial" w:hAnsi="Arial" w:cs="Arial"/>
        </w:rPr>
        <w:t>6</w:t>
      </w:r>
      <w:r w:rsidR="00572CCD" w:rsidRPr="00441EF3">
        <w:rPr>
          <w:rFonts w:ascii="Arial" w:eastAsia="Arial" w:hAnsi="Arial" w:cs="Arial"/>
        </w:rPr>
        <w:tab/>
      </w:r>
      <w:r w:rsidR="002A1B2B">
        <w:rPr>
          <w:rFonts w:ascii="Arial" w:eastAsia="Arial" w:hAnsi="Arial" w:cs="Arial"/>
        </w:rPr>
        <w:t>Rule 11 of the principal Rules amended</w:t>
      </w:r>
      <w:bookmarkEnd w:id="12"/>
    </w:p>
    <w:p w14:paraId="743049D8" w14:textId="7A2715CC" w:rsidR="00D316FD" w:rsidRDefault="000B37FE" w:rsidP="00572CCD">
      <w:pPr>
        <w:pStyle w:val="iLAWS301Paragraphunnumbered"/>
      </w:pPr>
      <w:r>
        <w:t>Rule 11 of the principal Rule is amended by inserting after p</w:t>
      </w:r>
      <w:r w:rsidR="009244DE">
        <w:t>a</w:t>
      </w:r>
      <w:r>
        <w:t>ragraph (2) the following para</w:t>
      </w:r>
      <w:r w:rsidR="009244DE">
        <w:t>graph</w:t>
      </w:r>
      <w:r w:rsidR="00D316FD">
        <w:t>—</w:t>
      </w:r>
    </w:p>
    <w:p w14:paraId="471A239E" w14:textId="73DBF408" w:rsidR="00D316FD" w:rsidRDefault="009244DE" w:rsidP="00672CD6">
      <w:pPr>
        <w:pStyle w:val="iLAWS301Paragraphunnumbered"/>
        <w:ind w:left="1701" w:hanging="567"/>
      </w:pPr>
      <w:r>
        <w:t>“(3)</w:t>
      </w:r>
      <w:r>
        <w:tab/>
      </w:r>
      <w:r w:rsidR="00672CD6" w:rsidRPr="00672CD6">
        <w:t>If the board of an offeree considers that an obligation to take any of the actions in paragraph (2)(a) to (f) or other special circumstance exists, although a formal contract has not been entered into, it should consult the Takeover Advisory Panel and obtain its consent to proceed without a shareholders' meeting</w:t>
      </w:r>
      <w:r w:rsidR="005A0830">
        <w:t>.”.</w:t>
      </w:r>
    </w:p>
    <w:p w14:paraId="50D5310D" w14:textId="7D36969F" w:rsidR="00D316FD" w:rsidRDefault="00EA5B3B" w:rsidP="00CC1FA8">
      <w:pPr>
        <w:pStyle w:val="iLAWS300Article"/>
      </w:pPr>
      <w:bookmarkStart w:id="13" w:name="_Toc151455613"/>
      <w:r>
        <w:rPr>
          <w:rFonts w:ascii="Arial" w:eastAsia="Arial" w:hAnsi="Arial" w:cs="Arial"/>
        </w:rPr>
        <w:lastRenderedPageBreak/>
        <w:t>7</w:t>
      </w:r>
      <w:r w:rsidR="00CC1FA8" w:rsidRPr="00441EF3">
        <w:rPr>
          <w:rFonts w:ascii="Arial" w:eastAsia="Arial" w:hAnsi="Arial" w:cs="Arial"/>
        </w:rPr>
        <w:tab/>
      </w:r>
      <w:r w:rsidR="005A0830">
        <w:rPr>
          <w:rFonts w:ascii="Arial" w:eastAsia="Arial" w:hAnsi="Arial" w:cs="Arial"/>
        </w:rPr>
        <w:t>Rule 1</w:t>
      </w:r>
      <w:r w:rsidR="00D55521">
        <w:rPr>
          <w:rFonts w:ascii="Arial" w:eastAsia="Arial" w:hAnsi="Arial" w:cs="Arial"/>
        </w:rPr>
        <w:t>1A</w:t>
      </w:r>
      <w:r w:rsidR="005A0830">
        <w:rPr>
          <w:rFonts w:ascii="Arial" w:eastAsia="Arial" w:hAnsi="Arial" w:cs="Arial"/>
        </w:rPr>
        <w:t xml:space="preserve"> of the principal Rules </w:t>
      </w:r>
      <w:r w:rsidR="00D55521">
        <w:rPr>
          <w:rFonts w:ascii="Arial" w:eastAsia="Arial" w:hAnsi="Arial" w:cs="Arial"/>
        </w:rPr>
        <w:t>inserted</w:t>
      </w:r>
      <w:bookmarkEnd w:id="13"/>
    </w:p>
    <w:p w14:paraId="1DC79299" w14:textId="336CC71A" w:rsidR="00D316FD" w:rsidRDefault="00D55521" w:rsidP="00FE2161">
      <w:pPr>
        <w:pStyle w:val="iLAWS301Paragraphunnumbered"/>
        <w:tabs>
          <w:tab w:val="left" w:pos="1134"/>
        </w:tabs>
      </w:pPr>
      <w:r>
        <w:t>The pr</w:t>
      </w:r>
      <w:r w:rsidR="00A43CA7">
        <w:t>i</w:t>
      </w:r>
      <w:r>
        <w:t>ncip</w:t>
      </w:r>
      <w:r w:rsidR="00A43CA7">
        <w:t>a</w:t>
      </w:r>
      <w:r>
        <w:t>l Rules are amended by inserting after Rule 11 the following new Rule</w:t>
      </w:r>
      <w:bookmarkStart w:id="14" w:name="_Hlk148318773"/>
      <w:r w:rsidR="00D316FD">
        <w:t>—</w:t>
      </w:r>
      <w:bookmarkEnd w:id="14"/>
    </w:p>
    <w:p w14:paraId="33115B3F" w14:textId="62F110F0" w:rsidR="00A446B3" w:rsidRPr="00A446B3" w:rsidRDefault="00A446B3" w:rsidP="00A446B3">
      <w:pPr>
        <w:pStyle w:val="iLAWS301Paragraphunnumbered"/>
        <w:tabs>
          <w:tab w:val="left" w:pos="1134"/>
        </w:tabs>
      </w:pPr>
      <w:r>
        <w:t>“</w:t>
      </w:r>
      <w:r w:rsidRPr="00A446B3">
        <w:rPr>
          <w:b/>
          <w:bCs/>
        </w:rPr>
        <w:t>11A</w:t>
      </w:r>
      <w:r w:rsidRPr="00A446B3">
        <w:rPr>
          <w:b/>
          <w:bCs/>
        </w:rPr>
        <w:tab/>
        <w:t>Secrecy</w:t>
      </w:r>
      <w:r w:rsidRPr="00A446B3">
        <w:t xml:space="preserve"> </w:t>
      </w:r>
    </w:p>
    <w:p w14:paraId="1C857E77" w14:textId="50CDA245" w:rsidR="00720584" w:rsidRDefault="00A446B3" w:rsidP="00EA5B3B">
      <w:pPr>
        <w:pStyle w:val="iLAWS301Paragraphunnumbered"/>
        <w:numPr>
          <w:ilvl w:val="0"/>
          <w:numId w:val="27"/>
        </w:numPr>
        <w:ind w:left="1701" w:hanging="567"/>
      </w:pPr>
      <w:r w:rsidRPr="00A446B3">
        <w:t>Prior to a public announcement of an offer or possible offer, all persons privy to confidential information, an</w:t>
      </w:r>
      <w:r w:rsidR="00640379">
        <w:t>d</w:t>
      </w:r>
      <w:r w:rsidRPr="00A446B3">
        <w:t xml:space="preserve"> particularly price-sensitive information</w:t>
      </w:r>
      <w:r w:rsidR="00640379">
        <w:t>,</w:t>
      </w:r>
      <w:r w:rsidRPr="00A446B3">
        <w:t xml:space="preserve"> concerning the offer or possible offer must treat that information as secret and may only pass it on to another person if it is necessary to do so and if the person is made aware of the need for secrecy.  </w:t>
      </w:r>
    </w:p>
    <w:p w14:paraId="3BE656F4" w14:textId="6DE06516" w:rsidR="00A446B3" w:rsidRPr="00A446B3" w:rsidRDefault="00A446B3" w:rsidP="00EA5B3B">
      <w:pPr>
        <w:pStyle w:val="iLAWS301Paragraphunnumbered"/>
        <w:numPr>
          <w:ilvl w:val="0"/>
          <w:numId w:val="27"/>
        </w:numPr>
        <w:ind w:left="1701" w:hanging="567"/>
      </w:pPr>
      <w:r w:rsidRPr="00A446B3">
        <w:t>All such persons</w:t>
      </w:r>
      <w:r w:rsidR="00640379">
        <w:t xml:space="preserve"> privy to confidential information under paragraph (1) </w:t>
      </w:r>
      <w:r w:rsidRPr="00A446B3">
        <w:t>must conduct themselves so as to minimise the chances o</w:t>
      </w:r>
      <w:r w:rsidR="00640379">
        <w:t>f</w:t>
      </w:r>
      <w:r w:rsidRPr="00A446B3">
        <w:t xml:space="preserve"> any leak of information. </w:t>
      </w:r>
    </w:p>
    <w:p w14:paraId="0EA2AB08" w14:textId="5C63464D" w:rsidR="00A446B3" w:rsidRPr="00A446B3" w:rsidRDefault="00A446B3" w:rsidP="00EA5B3B">
      <w:pPr>
        <w:pStyle w:val="iLAWS301Paragraphunnumbered"/>
        <w:numPr>
          <w:ilvl w:val="0"/>
          <w:numId w:val="27"/>
        </w:numPr>
        <w:ind w:left="1701" w:hanging="567"/>
      </w:pPr>
      <w:r>
        <w:t xml:space="preserve">An investment </w:t>
      </w:r>
      <w:r w:rsidRPr="00A446B3">
        <w:t>adviser must at the very beginning of discussions warn clients of the importance of secrecy and security, and attention should be drawn to this Rule and restrictions in dealings.</w:t>
      </w:r>
      <w:r>
        <w:t>”.</w:t>
      </w:r>
    </w:p>
    <w:p w14:paraId="17FB9961" w14:textId="5CA9BC12" w:rsidR="00F2379C" w:rsidRDefault="00EA5B3B" w:rsidP="00F2379C">
      <w:pPr>
        <w:pStyle w:val="iLAWS300Article"/>
      </w:pPr>
      <w:bookmarkStart w:id="15" w:name="_Toc151455614"/>
      <w:r>
        <w:rPr>
          <w:rFonts w:ascii="Arial" w:eastAsia="Arial" w:hAnsi="Arial" w:cs="Arial"/>
        </w:rPr>
        <w:t>8</w:t>
      </w:r>
      <w:r w:rsidR="00F2379C" w:rsidRPr="00441EF3">
        <w:rPr>
          <w:rFonts w:ascii="Arial" w:eastAsia="Arial" w:hAnsi="Arial" w:cs="Arial"/>
        </w:rPr>
        <w:tab/>
      </w:r>
      <w:r w:rsidR="00667AC5">
        <w:rPr>
          <w:rFonts w:ascii="Arial" w:eastAsia="Arial" w:hAnsi="Arial" w:cs="Arial"/>
        </w:rPr>
        <w:t>Rule 12 of the principal Rules amended</w:t>
      </w:r>
      <w:bookmarkEnd w:id="15"/>
      <w:r w:rsidR="00667AC5">
        <w:rPr>
          <w:rFonts w:ascii="Arial" w:eastAsia="Arial" w:hAnsi="Arial" w:cs="Arial"/>
        </w:rPr>
        <w:t xml:space="preserve"> </w:t>
      </w:r>
    </w:p>
    <w:p w14:paraId="720EF9E8" w14:textId="77777777" w:rsidR="00C74065" w:rsidRDefault="00667AC5" w:rsidP="00D316FD">
      <w:pPr>
        <w:pStyle w:val="iLAWS301Paragraphunnumbered"/>
      </w:pPr>
      <w:r>
        <w:t xml:space="preserve">Rule 12 of the principal Rule is amended </w:t>
      </w:r>
      <w:r w:rsidR="00C74065">
        <w:t>by inserting after paragraph (3) the following paragraph—</w:t>
      </w:r>
    </w:p>
    <w:p w14:paraId="16FFF544" w14:textId="5497DB86" w:rsidR="009B0FDF" w:rsidRPr="009B0FDF" w:rsidRDefault="009B0FDF" w:rsidP="009B0FDF">
      <w:pPr>
        <w:spacing w:after="3" w:line="360" w:lineRule="auto"/>
        <w:ind w:left="1186" w:right="742" w:hanging="619"/>
        <w:rPr>
          <w:kern w:val="2"/>
          <w:sz w:val="24"/>
          <w14:ligatures w14:val="standardContextual"/>
        </w:rPr>
      </w:pPr>
      <w:r w:rsidRPr="009B0FDF">
        <w:rPr>
          <w:kern w:val="2"/>
          <w:sz w:val="24"/>
          <w14:ligatures w14:val="standardContextual"/>
        </w:rPr>
        <w:t>“(4)</w:t>
      </w:r>
      <w:r w:rsidRPr="009B0FDF">
        <w:rPr>
          <w:kern w:val="2"/>
          <w:sz w:val="24"/>
          <w14:ligatures w14:val="standardContextual"/>
        </w:rPr>
        <w:tab/>
        <w:t>In this Rule “undue movement” includes</w:t>
      </w:r>
      <w:r w:rsidRPr="009B0FDF">
        <w:t>—</w:t>
      </w:r>
    </w:p>
    <w:p w14:paraId="7470EDCB" w14:textId="3E784676" w:rsidR="009B0FDF" w:rsidRPr="009B0FDF" w:rsidRDefault="009B0FDF" w:rsidP="00DF2DA9">
      <w:pPr>
        <w:numPr>
          <w:ilvl w:val="0"/>
          <w:numId w:val="29"/>
        </w:numPr>
        <w:spacing w:after="0" w:line="240" w:lineRule="auto"/>
        <w:ind w:left="1701" w:right="743" w:hanging="567"/>
        <w:contextualSpacing/>
        <w:rPr>
          <w:kern w:val="2"/>
          <w:sz w:val="24"/>
          <w14:ligatures w14:val="standardContextual"/>
        </w:rPr>
      </w:pPr>
      <w:r w:rsidRPr="009B0FDF">
        <w:rPr>
          <w:kern w:val="2"/>
          <w:sz w:val="24"/>
          <w14:ligatures w14:val="standardContextual"/>
        </w:rPr>
        <w:t>a movement of 10% or more above the lowest share price after the fee is first actively considered by a potential offeror; or</w:t>
      </w:r>
    </w:p>
    <w:p w14:paraId="2B5F7883" w14:textId="6F4D26D5" w:rsidR="009B0FDF" w:rsidRPr="009B0FDF" w:rsidRDefault="009B0FDF" w:rsidP="00DF2DA9">
      <w:pPr>
        <w:numPr>
          <w:ilvl w:val="0"/>
          <w:numId w:val="29"/>
        </w:numPr>
        <w:spacing w:after="0" w:line="240" w:lineRule="auto"/>
        <w:ind w:left="1701" w:right="743" w:hanging="567"/>
        <w:contextualSpacing/>
        <w:rPr>
          <w:kern w:val="2"/>
          <w:sz w:val="24"/>
          <w14:ligatures w14:val="standardContextual"/>
        </w:rPr>
      </w:pPr>
      <w:r w:rsidRPr="009B0FDF">
        <w:rPr>
          <w:kern w:val="2"/>
          <w:sz w:val="24"/>
          <w14:ligatures w14:val="standardContextual"/>
        </w:rPr>
        <w:t>a price rise of 5% in the course of a single</w:t>
      </w:r>
      <w:r w:rsidR="009C7676">
        <w:rPr>
          <w:kern w:val="2"/>
          <w:sz w:val="24"/>
          <w14:ligatures w14:val="standardContextual"/>
        </w:rPr>
        <w:t xml:space="preserve"> day</w:t>
      </w:r>
      <w:r w:rsidRPr="009B0FDF">
        <w:rPr>
          <w:kern w:val="2"/>
          <w:sz w:val="24"/>
          <w14:ligatures w14:val="standardContextual"/>
        </w:rPr>
        <w:t>.</w:t>
      </w:r>
      <w:r>
        <w:rPr>
          <w:kern w:val="2"/>
          <w:sz w:val="24"/>
          <w14:ligatures w14:val="standardContextual"/>
        </w:rPr>
        <w:t>”.</w:t>
      </w:r>
    </w:p>
    <w:p w14:paraId="154EF9D0" w14:textId="50116309" w:rsidR="00420DF1" w:rsidRDefault="00EA5B3B" w:rsidP="00420DF1">
      <w:pPr>
        <w:pStyle w:val="iLAWS300Article"/>
      </w:pPr>
      <w:bookmarkStart w:id="16" w:name="_Toc151455615"/>
      <w:bookmarkStart w:id="17" w:name="_Hlk148087277"/>
      <w:r>
        <w:rPr>
          <w:rFonts w:ascii="Arial" w:eastAsia="Arial" w:hAnsi="Arial" w:cs="Arial"/>
        </w:rPr>
        <w:t>9</w:t>
      </w:r>
      <w:r w:rsidR="00420DF1" w:rsidRPr="00441EF3">
        <w:rPr>
          <w:rFonts w:ascii="Arial" w:eastAsia="Arial" w:hAnsi="Arial" w:cs="Arial"/>
        </w:rPr>
        <w:tab/>
      </w:r>
      <w:r w:rsidR="0024327A">
        <w:rPr>
          <w:rFonts w:ascii="Arial" w:eastAsia="Arial" w:hAnsi="Arial" w:cs="Arial"/>
        </w:rPr>
        <w:t>Rule 1</w:t>
      </w:r>
      <w:r w:rsidR="00EC42D0">
        <w:rPr>
          <w:rFonts w:ascii="Arial" w:eastAsia="Arial" w:hAnsi="Arial" w:cs="Arial"/>
        </w:rPr>
        <w:t>7</w:t>
      </w:r>
      <w:r w:rsidR="0024327A">
        <w:rPr>
          <w:rFonts w:ascii="Arial" w:eastAsia="Arial" w:hAnsi="Arial" w:cs="Arial"/>
        </w:rPr>
        <w:t xml:space="preserve"> of the principal </w:t>
      </w:r>
      <w:r w:rsidR="00EC42D0">
        <w:rPr>
          <w:rFonts w:ascii="Arial" w:eastAsia="Arial" w:hAnsi="Arial" w:cs="Arial"/>
        </w:rPr>
        <w:t>repealed and replaced</w:t>
      </w:r>
      <w:bookmarkEnd w:id="16"/>
      <w:r w:rsidR="00EC42D0">
        <w:rPr>
          <w:rFonts w:ascii="Arial" w:eastAsia="Arial" w:hAnsi="Arial" w:cs="Arial"/>
        </w:rPr>
        <w:t xml:space="preserve"> </w:t>
      </w:r>
    </w:p>
    <w:bookmarkEnd w:id="17"/>
    <w:p w14:paraId="095AB485" w14:textId="0E2118DE" w:rsidR="00443D22" w:rsidRDefault="00EC42D0" w:rsidP="00EC42D0">
      <w:pPr>
        <w:pStyle w:val="iLAWS301Paragraphunnumbered"/>
        <w:tabs>
          <w:tab w:val="left" w:pos="1134"/>
        </w:tabs>
        <w:ind w:left="1134" w:hanging="567"/>
      </w:pPr>
      <w:r>
        <w:t>Rule 17 of the pr</w:t>
      </w:r>
      <w:r w:rsidR="00443D22">
        <w:t>inc</w:t>
      </w:r>
      <w:r>
        <w:t>ip</w:t>
      </w:r>
      <w:r w:rsidR="00443D22">
        <w:t>a</w:t>
      </w:r>
      <w:r>
        <w:t xml:space="preserve">l Rule is </w:t>
      </w:r>
      <w:r w:rsidR="00443D22">
        <w:t>repealed and replaced</w:t>
      </w:r>
      <w:r>
        <w:t xml:space="preserve"> by the following Rule</w:t>
      </w:r>
      <w:bookmarkStart w:id="18" w:name="_Hlk148319795"/>
      <w:r w:rsidR="00232685">
        <w:t>—</w:t>
      </w:r>
      <w:bookmarkEnd w:id="18"/>
    </w:p>
    <w:p w14:paraId="0D5996A1" w14:textId="2FC928B9" w:rsidR="00443D22" w:rsidRPr="00443D22" w:rsidRDefault="00443D22" w:rsidP="00443D22">
      <w:pPr>
        <w:pStyle w:val="iLAWS301Paragraphunnumbered"/>
        <w:tabs>
          <w:tab w:val="left" w:pos="1134"/>
        </w:tabs>
        <w:ind w:left="1134" w:hanging="567"/>
      </w:pPr>
      <w:r>
        <w:t>“</w:t>
      </w:r>
      <w:r w:rsidRPr="00443D22">
        <w:rPr>
          <w:b/>
          <w:bCs/>
        </w:rPr>
        <w:t>17</w:t>
      </w:r>
      <w:r w:rsidRPr="00443D22">
        <w:rPr>
          <w:b/>
          <w:bCs/>
        </w:rPr>
        <w:tab/>
        <w:t>Communication of the offer document to shareholders</w:t>
      </w:r>
      <w:r w:rsidRPr="00443D22">
        <w:t xml:space="preserve"> </w:t>
      </w:r>
    </w:p>
    <w:p w14:paraId="40F462C0" w14:textId="5BC9FA87" w:rsidR="00443D22" w:rsidRPr="00443D22" w:rsidRDefault="00443D22" w:rsidP="00232685">
      <w:pPr>
        <w:spacing w:after="3" w:line="240" w:lineRule="auto"/>
        <w:ind w:left="1134" w:right="0" w:firstLine="0"/>
        <w:rPr>
          <w:kern w:val="2"/>
          <w:sz w:val="24"/>
          <w14:ligatures w14:val="standardContextual"/>
        </w:rPr>
      </w:pPr>
      <w:r w:rsidRPr="00443D22">
        <w:rPr>
          <w:kern w:val="2"/>
          <w:sz w:val="24"/>
          <w14:ligatures w14:val="standardContextual"/>
        </w:rPr>
        <w:t>Except where the Commission otherwise directs, the offeror shall, within 14 days of filing a copy of the offer document with the Commission and the relevant securities exchange</w:t>
      </w:r>
      <w:r w:rsidR="009F7C31">
        <w:t>—</w:t>
      </w:r>
    </w:p>
    <w:p w14:paraId="7A7D256E" w14:textId="163A3E08" w:rsidR="00443D22" w:rsidRPr="00443D22" w:rsidRDefault="00443D22" w:rsidP="00232685">
      <w:pPr>
        <w:numPr>
          <w:ilvl w:val="1"/>
          <w:numId w:val="30"/>
        </w:numPr>
        <w:tabs>
          <w:tab w:val="left" w:pos="1701"/>
        </w:tabs>
        <w:spacing w:after="3" w:line="240" w:lineRule="auto"/>
        <w:ind w:left="1701" w:right="0" w:hanging="567"/>
        <w:contextualSpacing/>
        <w:rPr>
          <w:kern w:val="2"/>
          <w:sz w:val="24"/>
          <w14:ligatures w14:val="standardContextual"/>
        </w:rPr>
      </w:pPr>
      <w:r w:rsidRPr="00443D22">
        <w:rPr>
          <w:kern w:val="2"/>
          <w:sz w:val="24"/>
          <w14:ligatures w14:val="standardContextual"/>
        </w:rPr>
        <w:t>communicate a copy of the offer document by registered post or by any</w:t>
      </w:r>
      <w:r>
        <w:rPr>
          <w:kern w:val="2"/>
          <w:sz w:val="24"/>
          <w14:ligatures w14:val="standardContextual"/>
        </w:rPr>
        <w:t xml:space="preserve"> </w:t>
      </w:r>
      <w:r w:rsidRPr="00443D22">
        <w:rPr>
          <w:kern w:val="2"/>
          <w:sz w:val="24"/>
          <w14:ligatures w14:val="standardContextual"/>
        </w:rPr>
        <w:t>other</w:t>
      </w:r>
      <w:r>
        <w:rPr>
          <w:kern w:val="2"/>
          <w:sz w:val="24"/>
          <w14:ligatures w14:val="standardContextual"/>
        </w:rPr>
        <w:t xml:space="preserve"> </w:t>
      </w:r>
      <w:r w:rsidRPr="00443D22">
        <w:rPr>
          <w:kern w:val="2"/>
          <w:sz w:val="24"/>
          <w14:ligatures w14:val="standardContextual"/>
        </w:rPr>
        <w:t xml:space="preserve">expedient means of delivery to the shareholders of the offeree; </w:t>
      </w:r>
    </w:p>
    <w:p w14:paraId="0FBE9AFC" w14:textId="77777777" w:rsidR="00443D22" w:rsidRDefault="00443D22" w:rsidP="00232685">
      <w:pPr>
        <w:numPr>
          <w:ilvl w:val="1"/>
          <w:numId w:val="30"/>
        </w:numPr>
        <w:tabs>
          <w:tab w:val="left" w:pos="1701"/>
        </w:tabs>
        <w:spacing w:after="3" w:line="240" w:lineRule="auto"/>
        <w:ind w:left="720" w:right="0" w:firstLine="414"/>
        <w:contextualSpacing/>
        <w:rPr>
          <w:kern w:val="2"/>
          <w:sz w:val="24"/>
          <w14:ligatures w14:val="standardContextual"/>
        </w:rPr>
      </w:pPr>
      <w:r w:rsidRPr="00443D22">
        <w:rPr>
          <w:kern w:val="2"/>
          <w:sz w:val="24"/>
          <w14:ligatures w14:val="standardContextual"/>
        </w:rPr>
        <w:t>publish the offer document on the offeror’s website;</w:t>
      </w:r>
    </w:p>
    <w:p w14:paraId="03C7D31F" w14:textId="77777777" w:rsidR="006D2A02" w:rsidRPr="006D2A02" w:rsidRDefault="00443D22" w:rsidP="00232685">
      <w:pPr>
        <w:numPr>
          <w:ilvl w:val="1"/>
          <w:numId w:val="30"/>
        </w:numPr>
        <w:tabs>
          <w:tab w:val="left" w:pos="1134"/>
          <w:tab w:val="left" w:pos="1701"/>
        </w:tabs>
        <w:spacing w:after="3" w:line="240" w:lineRule="auto"/>
        <w:ind w:left="1701" w:right="0" w:hanging="567"/>
        <w:contextualSpacing/>
      </w:pPr>
      <w:r w:rsidRPr="00443D22">
        <w:rPr>
          <w:kern w:val="2"/>
          <w:sz w:val="24"/>
          <w14:ligatures w14:val="standardContextual"/>
        </w:rPr>
        <w:t xml:space="preserve">make the offer document available to the shareholders of the offeree at the offerer’s </w:t>
      </w:r>
      <w:r w:rsidR="006D2A02">
        <w:rPr>
          <w:kern w:val="2"/>
          <w:sz w:val="24"/>
          <w14:ligatures w14:val="standardContextual"/>
        </w:rPr>
        <w:t>registered,</w:t>
      </w:r>
    </w:p>
    <w:p w14:paraId="3AF4A729" w14:textId="1D774612" w:rsidR="00443D22" w:rsidRPr="00443D22" w:rsidRDefault="006D2A02" w:rsidP="006D2A02">
      <w:pPr>
        <w:tabs>
          <w:tab w:val="left" w:pos="1134"/>
          <w:tab w:val="left" w:pos="1701"/>
        </w:tabs>
        <w:spacing w:after="3" w:line="240" w:lineRule="auto"/>
        <w:ind w:left="1134" w:right="0" w:firstLine="0"/>
        <w:contextualSpacing/>
      </w:pPr>
      <w:r>
        <w:rPr>
          <w:kern w:val="2"/>
          <w:sz w:val="24"/>
          <w14:ligatures w14:val="standardContextual"/>
        </w:rPr>
        <w:t xml:space="preserve">and </w:t>
      </w:r>
      <w:r w:rsidR="00443D22" w:rsidRPr="00443D22">
        <w:rPr>
          <w:kern w:val="2"/>
          <w:sz w:val="24"/>
          <w14:ligatures w14:val="standardContextual"/>
        </w:rPr>
        <w:t>notify the board of the offeree in writing.</w:t>
      </w:r>
      <w:r w:rsidR="0006573C">
        <w:rPr>
          <w:kern w:val="2"/>
          <w:sz w:val="24"/>
          <w14:ligatures w14:val="standardContextual"/>
        </w:rPr>
        <w:t>”.</w:t>
      </w:r>
    </w:p>
    <w:p w14:paraId="7D035F80" w14:textId="19C03A69" w:rsidR="00D316FD" w:rsidRDefault="00D00D54" w:rsidP="00D00D54">
      <w:pPr>
        <w:pStyle w:val="iLAWS300Article"/>
      </w:pPr>
      <w:bookmarkStart w:id="19" w:name="_Toc151455616"/>
      <w:bookmarkStart w:id="20" w:name="_Hlk148087349"/>
      <w:r>
        <w:rPr>
          <w:rFonts w:ascii="Arial" w:eastAsia="Arial" w:hAnsi="Arial" w:cs="Arial"/>
        </w:rPr>
        <w:t>1</w:t>
      </w:r>
      <w:r w:rsidR="00EA5B3B">
        <w:rPr>
          <w:rFonts w:ascii="Arial" w:eastAsia="Arial" w:hAnsi="Arial" w:cs="Arial"/>
        </w:rPr>
        <w:t>0</w:t>
      </w:r>
      <w:r w:rsidRPr="00441EF3">
        <w:rPr>
          <w:rFonts w:ascii="Arial" w:eastAsia="Arial" w:hAnsi="Arial" w:cs="Arial"/>
        </w:rPr>
        <w:tab/>
      </w:r>
      <w:r w:rsidR="00621D92">
        <w:rPr>
          <w:rFonts w:ascii="Arial" w:eastAsia="Arial" w:hAnsi="Arial" w:cs="Arial"/>
        </w:rPr>
        <w:t>Rule 20 of the principal Rule amended</w:t>
      </w:r>
      <w:bookmarkEnd w:id="19"/>
    </w:p>
    <w:bookmarkEnd w:id="20"/>
    <w:p w14:paraId="0573AF89" w14:textId="37C0F5FC" w:rsidR="00911B74" w:rsidRDefault="00621D92" w:rsidP="00911B74">
      <w:pPr>
        <w:pStyle w:val="iLAWS301Paragraphunnumbered"/>
      </w:pPr>
      <w:r>
        <w:t xml:space="preserve">Rule 20 of the </w:t>
      </w:r>
      <w:r w:rsidR="00911B74">
        <w:t xml:space="preserve">principal </w:t>
      </w:r>
      <w:r>
        <w:t xml:space="preserve">Rules is amended by repealing paragraph (2) </w:t>
      </w:r>
      <w:r w:rsidR="009F7C31">
        <w:t>and replacing it with the following</w:t>
      </w:r>
      <w:r w:rsidR="00911B74">
        <w:t>—</w:t>
      </w:r>
    </w:p>
    <w:p w14:paraId="5DE5078D" w14:textId="30FE100E" w:rsidR="00594896" w:rsidRPr="00594896" w:rsidRDefault="002D472E" w:rsidP="002D472E">
      <w:pPr>
        <w:spacing w:after="0" w:line="240" w:lineRule="auto"/>
        <w:ind w:left="1134" w:right="0" w:hanging="567"/>
        <w:rPr>
          <w:kern w:val="2"/>
          <w:sz w:val="24"/>
          <w14:ligatures w14:val="standardContextual"/>
        </w:rPr>
      </w:pPr>
      <w:r>
        <w:rPr>
          <w:kern w:val="2"/>
          <w:sz w:val="24"/>
          <w14:ligatures w14:val="standardContextual"/>
        </w:rPr>
        <w:t>(2)</w:t>
      </w:r>
      <w:r>
        <w:rPr>
          <w:kern w:val="2"/>
          <w:sz w:val="24"/>
          <w14:ligatures w14:val="standardContextual"/>
        </w:rPr>
        <w:tab/>
      </w:r>
      <w:r w:rsidR="00594896" w:rsidRPr="00594896">
        <w:rPr>
          <w:kern w:val="2"/>
          <w:sz w:val="24"/>
          <w14:ligatures w14:val="standardContextual"/>
        </w:rPr>
        <w:t>The Commission may where it deems fit,</w:t>
      </w:r>
      <w:r>
        <w:rPr>
          <w:kern w:val="2"/>
          <w:sz w:val="24"/>
          <w14:ligatures w14:val="standardContextual"/>
        </w:rPr>
        <w:t xml:space="preserve"> </w:t>
      </w:r>
      <w:r w:rsidR="00594896" w:rsidRPr="00594896">
        <w:rPr>
          <w:kern w:val="2"/>
          <w:sz w:val="24"/>
          <w14:ligatures w14:val="standardContextual"/>
        </w:rPr>
        <w:t>upon application and payment of the fee specified in Fourth Schedule to these rules, provide for an extension of the offer period beyond the 60 day period referred to in paragraph (1) where</w:t>
      </w:r>
      <w:bookmarkStart w:id="21" w:name="_Hlk148320368"/>
      <w:r w:rsidR="00DE69F4">
        <w:t>—</w:t>
      </w:r>
      <w:bookmarkEnd w:id="21"/>
      <w:r w:rsidR="00594896" w:rsidRPr="00594896">
        <w:rPr>
          <w:kern w:val="2"/>
          <w:sz w:val="24"/>
          <w14:ligatures w14:val="standardContextual"/>
        </w:rPr>
        <w:t xml:space="preserve"> </w:t>
      </w:r>
    </w:p>
    <w:p w14:paraId="365F8397" w14:textId="58F2EB0D" w:rsidR="00594896" w:rsidRPr="00594896" w:rsidRDefault="00594896" w:rsidP="002D472E">
      <w:pPr>
        <w:tabs>
          <w:tab w:val="left" w:pos="1701"/>
        </w:tabs>
        <w:spacing w:after="0" w:line="240" w:lineRule="auto"/>
        <w:ind w:left="1134" w:right="0" w:firstLine="0"/>
        <w:rPr>
          <w:kern w:val="2"/>
          <w:sz w:val="24"/>
          <w14:ligatures w14:val="standardContextual"/>
        </w:rPr>
      </w:pPr>
      <w:r w:rsidRPr="00594896">
        <w:rPr>
          <w:kern w:val="2"/>
          <w:sz w:val="24"/>
          <w14:ligatures w14:val="standardContextual"/>
        </w:rPr>
        <w:t>(a)</w:t>
      </w:r>
      <w:r w:rsidR="002D472E">
        <w:rPr>
          <w:kern w:val="2"/>
          <w:sz w:val="24"/>
          <w14:ligatures w14:val="standardContextual"/>
        </w:rPr>
        <w:tab/>
      </w:r>
      <w:r w:rsidRPr="00594896">
        <w:rPr>
          <w:kern w:val="2"/>
          <w:sz w:val="24"/>
          <w14:ligatures w14:val="standardContextual"/>
        </w:rPr>
        <w:t>there is a competing offer; or</w:t>
      </w:r>
    </w:p>
    <w:p w14:paraId="094809C1" w14:textId="5844A7D1" w:rsidR="00594896" w:rsidRPr="00594896" w:rsidRDefault="00594896" w:rsidP="002D472E">
      <w:pPr>
        <w:tabs>
          <w:tab w:val="left" w:pos="1701"/>
        </w:tabs>
        <w:spacing w:after="0" w:line="240" w:lineRule="auto"/>
        <w:ind w:left="1134" w:right="0" w:firstLine="0"/>
        <w:rPr>
          <w:kern w:val="2"/>
          <w:sz w:val="24"/>
          <w14:ligatures w14:val="standardContextual"/>
        </w:rPr>
      </w:pPr>
      <w:r w:rsidRPr="00594896">
        <w:rPr>
          <w:kern w:val="2"/>
          <w:sz w:val="24"/>
          <w14:ligatures w14:val="standardContextual"/>
        </w:rPr>
        <w:t>(b)</w:t>
      </w:r>
      <w:r w:rsidRPr="00594896">
        <w:rPr>
          <w:kern w:val="2"/>
          <w:sz w:val="24"/>
          <w14:ligatures w14:val="standardContextual"/>
        </w:rPr>
        <w:tab/>
        <w:t>the board of the offeree consents to the offer.</w:t>
      </w:r>
      <w:r w:rsidR="002D472E">
        <w:rPr>
          <w:kern w:val="2"/>
          <w:sz w:val="24"/>
          <w14:ligatures w14:val="standardContextual"/>
        </w:rPr>
        <w:t>”.</w:t>
      </w:r>
    </w:p>
    <w:p w14:paraId="0897EDA2" w14:textId="67A3D594" w:rsidR="00861808" w:rsidRDefault="00861808" w:rsidP="00861808">
      <w:pPr>
        <w:pStyle w:val="iLAWS300Article"/>
      </w:pPr>
      <w:bookmarkStart w:id="22" w:name="_Toc151455617"/>
      <w:r>
        <w:rPr>
          <w:rFonts w:ascii="Arial" w:eastAsia="Arial" w:hAnsi="Arial" w:cs="Arial"/>
        </w:rPr>
        <w:t>10</w:t>
      </w:r>
      <w:r w:rsidRPr="00441EF3">
        <w:rPr>
          <w:rFonts w:ascii="Arial" w:eastAsia="Arial" w:hAnsi="Arial" w:cs="Arial"/>
        </w:rPr>
        <w:tab/>
      </w:r>
      <w:r>
        <w:rPr>
          <w:rFonts w:ascii="Arial" w:eastAsia="Arial" w:hAnsi="Arial" w:cs="Arial"/>
        </w:rPr>
        <w:t>Rule 20A</w:t>
      </w:r>
      <w:r w:rsidR="00C25590">
        <w:rPr>
          <w:rFonts w:ascii="Arial" w:eastAsia="Arial" w:hAnsi="Arial" w:cs="Arial"/>
        </w:rPr>
        <w:t xml:space="preserve"> and 20B </w:t>
      </w:r>
      <w:r>
        <w:rPr>
          <w:rFonts w:ascii="Arial" w:eastAsia="Arial" w:hAnsi="Arial" w:cs="Arial"/>
        </w:rPr>
        <w:t>of the principal Rule inserted</w:t>
      </w:r>
      <w:bookmarkEnd w:id="22"/>
    </w:p>
    <w:p w14:paraId="47841414" w14:textId="276CEFF3" w:rsidR="00861808" w:rsidRDefault="00250AD1" w:rsidP="00861808">
      <w:pPr>
        <w:pStyle w:val="iLAWS301Paragraphunnumbered"/>
      </w:pPr>
      <w:r>
        <w:t>T</w:t>
      </w:r>
      <w:r w:rsidR="00861808">
        <w:t xml:space="preserve">he principal Rules </w:t>
      </w:r>
      <w:r>
        <w:t>are</w:t>
      </w:r>
      <w:r w:rsidR="00861808">
        <w:t xml:space="preserve"> amended by </w:t>
      </w:r>
      <w:r>
        <w:t>inserting after Rule20 the following new Rule</w:t>
      </w:r>
      <w:r w:rsidR="00C25590">
        <w:t>s</w:t>
      </w:r>
      <w:bookmarkStart w:id="23" w:name="_Hlk150687099"/>
      <w:r w:rsidR="00861808">
        <w:t>—</w:t>
      </w:r>
      <w:bookmarkEnd w:id="23"/>
    </w:p>
    <w:p w14:paraId="0444F2AE" w14:textId="7A5782B3" w:rsidR="009E2C3B" w:rsidRDefault="00250AD1" w:rsidP="00C25590">
      <w:pPr>
        <w:pStyle w:val="iLAWS301Paragraphunnumbered"/>
        <w:tabs>
          <w:tab w:val="left" w:pos="1134"/>
        </w:tabs>
      </w:pPr>
      <w:r>
        <w:t>“</w:t>
      </w:r>
      <w:r w:rsidR="00EF6392" w:rsidRPr="00EF6392">
        <w:rPr>
          <w:b/>
          <w:bCs/>
        </w:rPr>
        <w:t xml:space="preserve">Extension of </w:t>
      </w:r>
      <w:r w:rsidR="00F6008A">
        <w:rPr>
          <w:b/>
          <w:bCs/>
        </w:rPr>
        <w:t xml:space="preserve">mandatory </w:t>
      </w:r>
      <w:r w:rsidR="00EF6392" w:rsidRPr="00EF6392">
        <w:rPr>
          <w:b/>
          <w:bCs/>
        </w:rPr>
        <w:t>offer</w:t>
      </w:r>
      <w:r w:rsidR="00EF6392">
        <w:t xml:space="preserve"> </w:t>
      </w:r>
    </w:p>
    <w:p w14:paraId="5249C5F8" w14:textId="1C5BAE93" w:rsidR="00C25590" w:rsidRDefault="00C25590" w:rsidP="00C25590">
      <w:pPr>
        <w:pStyle w:val="iLAWS301Paragraphunnumbered"/>
        <w:tabs>
          <w:tab w:val="left" w:pos="1134"/>
        </w:tabs>
      </w:pPr>
      <w:r>
        <w:t xml:space="preserve">20A </w:t>
      </w:r>
      <w:r>
        <w:tab/>
      </w:r>
      <w:r w:rsidR="00540D79">
        <w:t>(</w:t>
      </w:r>
      <w:r w:rsidR="00B11A40">
        <w:t>1)</w:t>
      </w:r>
      <w:r w:rsidR="00B11A40">
        <w:tab/>
      </w:r>
      <w:r>
        <w:t>When mandatory offers are triggered</w:t>
      </w:r>
      <w:r w:rsidR="0074728F">
        <w:t>, e</w:t>
      </w:r>
      <w:r>
        <w:t>xcept with the Commission’s consent, where</w:t>
      </w:r>
      <w:r w:rsidR="0074728F">
        <w:t>—</w:t>
      </w:r>
    </w:p>
    <w:p w14:paraId="567BE1B5" w14:textId="77777777" w:rsidR="0074728F" w:rsidRDefault="00C25590" w:rsidP="00B11A40">
      <w:pPr>
        <w:pStyle w:val="iLAWS301Paragraphunnumbered"/>
        <w:tabs>
          <w:tab w:val="left" w:pos="2268"/>
        </w:tabs>
        <w:ind w:left="2268" w:hanging="567"/>
      </w:pPr>
      <w:r>
        <w:lastRenderedPageBreak/>
        <w:t>(a)</w:t>
      </w:r>
      <w:r>
        <w:tab/>
        <w:t xml:space="preserve">any person acquires whether by a series of transactions over a period of time or not, shares which (taken together with shares held or acquired by persons acting in concert with him) carry 30% or more of the voting rights of a company; or </w:t>
      </w:r>
    </w:p>
    <w:p w14:paraId="74AEF790" w14:textId="7B8C7545" w:rsidR="00C25590" w:rsidRDefault="00C25590" w:rsidP="00B11A40">
      <w:pPr>
        <w:pStyle w:val="iLAWS301Paragraphunnumbered"/>
        <w:tabs>
          <w:tab w:val="left" w:pos="2268"/>
        </w:tabs>
        <w:ind w:left="2268" w:hanging="567"/>
      </w:pPr>
      <w:r>
        <w:t>(b)</w:t>
      </w:r>
      <w:r>
        <w:tab/>
        <w:t xml:space="preserve">any person who, together with persons acting in concert with him, holds not less than 30% but not more than 50% of the voting rights and such person, or any person acting in concert with him, acquires in any period of 6 months additional shares carrying more than 1% of the voting rights, </w:t>
      </w:r>
    </w:p>
    <w:p w14:paraId="12FF72AA" w14:textId="77777777" w:rsidR="00540D79" w:rsidRDefault="00C25590" w:rsidP="00B11A40">
      <w:pPr>
        <w:pStyle w:val="iLAWS301Paragraphunnumbered"/>
        <w:tabs>
          <w:tab w:val="left" w:pos="1134"/>
          <w:tab w:val="left" w:pos="2268"/>
        </w:tabs>
        <w:ind w:left="1701"/>
      </w:pPr>
      <w:r>
        <w:t xml:space="preserve">such person must extend offers immediately, on the basis set out in this Rule, to the holders of any class of share capital of the company which carries votes and in which such person, or persons acting in concert with him, hold shares. </w:t>
      </w:r>
    </w:p>
    <w:p w14:paraId="30F51607" w14:textId="6DD35BFA" w:rsidR="00C25590" w:rsidRDefault="00B11A40" w:rsidP="00B11A40">
      <w:pPr>
        <w:pStyle w:val="iLAWS301Paragraphunnumbered"/>
        <w:numPr>
          <w:ilvl w:val="0"/>
          <w:numId w:val="30"/>
        </w:numPr>
        <w:tabs>
          <w:tab w:val="left" w:pos="1701"/>
        </w:tabs>
        <w:ind w:left="1560" w:hanging="426"/>
      </w:pPr>
      <w:r>
        <w:t>In a</w:t>
      </w:r>
      <w:r w:rsidR="00C25590">
        <w:t xml:space="preserve">ddition to </w:t>
      </w:r>
      <w:r>
        <w:t>the persons referred to in paragraph (2)</w:t>
      </w:r>
      <w:r w:rsidR="00C25590">
        <w:t xml:space="preserve">, each of the principal members of the group of persons acting in concert </w:t>
      </w:r>
      <w:r w:rsidR="00151748">
        <w:t>with the principal member</w:t>
      </w:r>
      <w:r>
        <w:t xml:space="preserve"> </w:t>
      </w:r>
      <w:r w:rsidR="00C25590">
        <w:t>may, according to the circumstances of the case, have the obligation to extend an offer.</w:t>
      </w:r>
    </w:p>
    <w:p w14:paraId="21BCF8E3" w14:textId="047D27F5" w:rsidR="00861808" w:rsidRPr="00861808" w:rsidRDefault="007F002C" w:rsidP="00250AD1">
      <w:pPr>
        <w:pStyle w:val="iLAWS301Paragraphunnumbered"/>
        <w:tabs>
          <w:tab w:val="left" w:pos="1134"/>
        </w:tabs>
        <w:rPr>
          <w:b/>
          <w:kern w:val="2"/>
          <w:sz w:val="24"/>
          <w14:ligatures w14:val="standardContextual"/>
        </w:rPr>
      </w:pPr>
      <w:r>
        <w:rPr>
          <w:b/>
          <w:bCs/>
          <w:color w:val="000000" w:themeColor="text1"/>
        </w:rPr>
        <w:t>2</w:t>
      </w:r>
      <w:r w:rsidR="00250AD1" w:rsidRPr="00250AD1">
        <w:rPr>
          <w:b/>
          <w:bCs/>
          <w:color w:val="000000" w:themeColor="text1"/>
        </w:rPr>
        <w:t>0</w:t>
      </w:r>
      <w:r w:rsidR="00C25590">
        <w:rPr>
          <w:b/>
          <w:bCs/>
          <w:color w:val="000000" w:themeColor="text1"/>
        </w:rPr>
        <w:t>B</w:t>
      </w:r>
      <w:r w:rsidR="00250AD1" w:rsidRPr="00A446B3">
        <w:rPr>
          <w:b/>
          <w:bCs/>
        </w:rPr>
        <w:tab/>
      </w:r>
      <w:r w:rsidR="00861808" w:rsidRPr="00861808">
        <w:rPr>
          <w:b/>
          <w:color w:val="000000" w:themeColor="text1"/>
          <w:kern w:val="2"/>
          <w:sz w:val="24"/>
          <w14:ligatures w14:val="standardContextual"/>
        </w:rPr>
        <w:t xml:space="preserve">Prevention of a false market </w:t>
      </w:r>
    </w:p>
    <w:p w14:paraId="25DABFDE" w14:textId="54CF7305" w:rsidR="00D4054C" w:rsidRDefault="00D4054C" w:rsidP="005A00F4">
      <w:pPr>
        <w:numPr>
          <w:ilvl w:val="0"/>
          <w:numId w:val="31"/>
        </w:numPr>
        <w:spacing w:before="120" w:after="120" w:line="240" w:lineRule="auto"/>
        <w:ind w:left="1701" w:right="53" w:hanging="567"/>
        <w:rPr>
          <w:kern w:val="2"/>
          <w:sz w:val="24"/>
          <w14:ligatures w14:val="standardContextual"/>
        </w:rPr>
      </w:pPr>
      <w:r>
        <w:rPr>
          <w:kern w:val="2"/>
          <w:sz w:val="24"/>
          <w14:ligatures w14:val="standardContextual"/>
        </w:rPr>
        <w:t>Subject to paragraph (2), a</w:t>
      </w:r>
      <w:r w:rsidR="00861808" w:rsidRPr="00861808">
        <w:rPr>
          <w:kern w:val="2"/>
          <w:sz w:val="24"/>
          <w14:ligatures w14:val="standardContextual"/>
        </w:rPr>
        <w:t>ll parties to a takeover tran</w:t>
      </w:r>
      <w:r w:rsidR="00250AD1">
        <w:rPr>
          <w:kern w:val="2"/>
          <w:sz w:val="24"/>
          <w14:ligatures w14:val="standardContextual"/>
        </w:rPr>
        <w:t>s</w:t>
      </w:r>
      <w:r w:rsidR="00861808" w:rsidRPr="00861808">
        <w:rPr>
          <w:kern w:val="2"/>
          <w:sz w:val="24"/>
          <w14:ligatures w14:val="standardContextual"/>
        </w:rPr>
        <w:t>action shall</w:t>
      </w:r>
      <w:r w:rsidR="00C82369">
        <w:rPr>
          <w:kern w:val="2"/>
          <w:sz w:val="24"/>
          <w14:ligatures w14:val="standardContextual"/>
        </w:rPr>
        <w:t xml:space="preserve"> </w:t>
      </w:r>
      <w:r w:rsidR="00EC1E58">
        <w:rPr>
          <w:kern w:val="2"/>
          <w:sz w:val="24"/>
          <w14:ligatures w14:val="standardContextual"/>
        </w:rPr>
        <w:t>during the offer period and af</w:t>
      </w:r>
      <w:r w:rsidR="00F56ECC">
        <w:rPr>
          <w:kern w:val="2"/>
          <w:sz w:val="24"/>
          <w14:ligatures w14:val="standardContextual"/>
        </w:rPr>
        <w:t>t</w:t>
      </w:r>
      <w:r w:rsidR="00C82369">
        <w:rPr>
          <w:kern w:val="2"/>
          <w:sz w:val="24"/>
          <w14:ligatures w14:val="standardContextual"/>
        </w:rPr>
        <w:t>er the public announcement is made</w:t>
      </w:r>
      <w:r>
        <w:t>—</w:t>
      </w:r>
    </w:p>
    <w:p w14:paraId="6F915817" w14:textId="35ED5E45" w:rsidR="00D4054C" w:rsidRPr="00D4054C" w:rsidRDefault="00861808" w:rsidP="00D4054C">
      <w:pPr>
        <w:pStyle w:val="ListParagraph"/>
        <w:numPr>
          <w:ilvl w:val="0"/>
          <w:numId w:val="33"/>
        </w:numPr>
        <w:spacing w:before="120" w:after="120" w:line="240" w:lineRule="auto"/>
        <w:ind w:right="53"/>
        <w:rPr>
          <w:kern w:val="2"/>
          <w:sz w:val="24"/>
          <w14:ligatures w14:val="standardContextual"/>
        </w:rPr>
      </w:pPr>
      <w:r w:rsidRPr="00D4054C">
        <w:rPr>
          <w:kern w:val="2"/>
          <w:sz w:val="24"/>
          <w14:ligatures w14:val="standardContextual"/>
        </w:rPr>
        <w:t>make full and prompt disclosure of all relevant information and use every endeavour to prevent the creation of a false market in the shares of an offeror or offeree compan</w:t>
      </w:r>
      <w:r w:rsidR="00D4054C" w:rsidRPr="00D4054C">
        <w:rPr>
          <w:kern w:val="2"/>
          <w:sz w:val="24"/>
          <w14:ligatures w14:val="standardContextual"/>
        </w:rPr>
        <w:t>y;</w:t>
      </w:r>
    </w:p>
    <w:p w14:paraId="34CE2D88" w14:textId="64B5907F" w:rsidR="00D4054C" w:rsidRPr="00D4054C" w:rsidRDefault="00861808" w:rsidP="00D4054C">
      <w:pPr>
        <w:pStyle w:val="ListParagraph"/>
        <w:numPr>
          <w:ilvl w:val="0"/>
          <w:numId w:val="33"/>
        </w:numPr>
        <w:spacing w:before="120" w:after="120" w:line="240" w:lineRule="auto"/>
        <w:ind w:right="53"/>
        <w:rPr>
          <w:rFonts w:ascii="Arial" w:eastAsia="Arial" w:hAnsi="Arial" w:cs="Arial"/>
        </w:rPr>
      </w:pPr>
      <w:r w:rsidRPr="00D4054C">
        <w:rPr>
          <w:kern w:val="2"/>
          <w:sz w:val="24"/>
          <w14:ligatures w14:val="standardContextual"/>
        </w:rPr>
        <w:t>take care not to make statements which may mislead shareholders or the market.</w:t>
      </w:r>
    </w:p>
    <w:p w14:paraId="4C1A22FC" w14:textId="2191F27A" w:rsidR="00861808" w:rsidRPr="009C55BE" w:rsidRDefault="00D4054C" w:rsidP="009C55BE">
      <w:pPr>
        <w:spacing w:before="120" w:after="120" w:line="240" w:lineRule="auto"/>
        <w:ind w:left="1701" w:right="53" w:hanging="567"/>
        <w:rPr>
          <w:rFonts w:eastAsia="Arial"/>
        </w:rPr>
      </w:pPr>
      <w:r w:rsidRPr="009C55BE">
        <w:rPr>
          <w:rFonts w:eastAsia="Arial"/>
        </w:rPr>
        <w:t>(2)</w:t>
      </w:r>
      <w:r w:rsidRPr="009C55BE">
        <w:rPr>
          <w:rFonts w:eastAsia="Arial"/>
        </w:rPr>
        <w:tab/>
      </w:r>
      <w:r w:rsidR="00C82369">
        <w:rPr>
          <w:rFonts w:eastAsia="Arial"/>
        </w:rPr>
        <w:t>During the offer period and after the public announcement is made, w</w:t>
      </w:r>
      <w:r w:rsidR="00972683">
        <w:rPr>
          <w:rFonts w:eastAsia="Arial"/>
        </w:rPr>
        <w:t>here the</w:t>
      </w:r>
      <w:r w:rsidR="003A5E20">
        <w:rPr>
          <w:rFonts w:eastAsia="Arial"/>
        </w:rPr>
        <w:t xml:space="preserve"> offeror</w:t>
      </w:r>
      <w:r w:rsidR="00972683">
        <w:rPr>
          <w:rFonts w:eastAsia="Arial"/>
        </w:rPr>
        <w:t>, the offe</w:t>
      </w:r>
      <w:r w:rsidR="003A5E20">
        <w:rPr>
          <w:rFonts w:eastAsia="Arial"/>
        </w:rPr>
        <w:t>r</w:t>
      </w:r>
      <w:r w:rsidR="00D31368">
        <w:rPr>
          <w:rFonts w:eastAsia="Arial"/>
        </w:rPr>
        <w:t xml:space="preserve">or any of </w:t>
      </w:r>
      <w:r w:rsidR="003A5E20">
        <w:rPr>
          <w:rFonts w:eastAsia="Arial"/>
        </w:rPr>
        <w:t>t</w:t>
      </w:r>
      <w:r w:rsidR="00D31368">
        <w:rPr>
          <w:rFonts w:eastAsia="Arial"/>
        </w:rPr>
        <w:t>he</w:t>
      </w:r>
      <w:r w:rsidR="003A5E20">
        <w:rPr>
          <w:rFonts w:eastAsia="Arial"/>
        </w:rPr>
        <w:t>i</w:t>
      </w:r>
      <w:r w:rsidR="00D31368">
        <w:rPr>
          <w:rFonts w:eastAsia="Arial"/>
        </w:rPr>
        <w:t xml:space="preserve">r associates deal in relevant security only as brokerage agents for investments </w:t>
      </w:r>
      <w:r w:rsidR="003A5E20">
        <w:rPr>
          <w:rFonts w:eastAsia="Arial"/>
        </w:rPr>
        <w:t>c</w:t>
      </w:r>
      <w:r w:rsidR="00D31368">
        <w:rPr>
          <w:rFonts w:eastAsia="Arial"/>
        </w:rPr>
        <w:t>lients and not as princip</w:t>
      </w:r>
      <w:r w:rsidR="003A5E20">
        <w:rPr>
          <w:rFonts w:eastAsia="Arial"/>
        </w:rPr>
        <w:t xml:space="preserve">al, the </w:t>
      </w:r>
      <w:r w:rsidR="00B90FBE">
        <w:rPr>
          <w:rFonts w:eastAsia="Arial"/>
        </w:rPr>
        <w:t>transactions only need to be disclosed privately to the Takeover Advisory Panel</w:t>
      </w:r>
      <w:r w:rsidR="00EC1E58">
        <w:rPr>
          <w:rFonts w:eastAsia="Arial"/>
        </w:rPr>
        <w:t>.</w:t>
      </w:r>
      <w:r w:rsidR="00F6008A">
        <w:rPr>
          <w:rFonts w:eastAsia="Arial"/>
        </w:rPr>
        <w:t>”.</w:t>
      </w:r>
    </w:p>
    <w:p w14:paraId="197255A5" w14:textId="6A8359D5" w:rsidR="0074604A" w:rsidRDefault="00797261" w:rsidP="00797261">
      <w:pPr>
        <w:pStyle w:val="iLAWS300Article"/>
        <w:rPr>
          <w:rFonts w:ascii="Arial" w:eastAsia="Arial" w:hAnsi="Arial" w:cs="Arial"/>
        </w:rPr>
      </w:pPr>
      <w:bookmarkStart w:id="24" w:name="_Toc151455618"/>
      <w:r>
        <w:rPr>
          <w:rFonts w:ascii="Arial" w:eastAsia="Arial" w:hAnsi="Arial" w:cs="Arial"/>
        </w:rPr>
        <w:t>1</w:t>
      </w:r>
      <w:r w:rsidR="00EA5B3B">
        <w:rPr>
          <w:rFonts w:ascii="Arial" w:eastAsia="Arial" w:hAnsi="Arial" w:cs="Arial"/>
        </w:rPr>
        <w:t>1</w:t>
      </w:r>
      <w:r w:rsidRPr="00441EF3">
        <w:rPr>
          <w:rFonts w:ascii="Arial" w:eastAsia="Arial" w:hAnsi="Arial" w:cs="Arial"/>
        </w:rPr>
        <w:tab/>
      </w:r>
      <w:r>
        <w:rPr>
          <w:rFonts w:ascii="Arial" w:eastAsia="Arial" w:hAnsi="Arial" w:cs="Arial"/>
        </w:rPr>
        <w:t>R</w:t>
      </w:r>
      <w:r w:rsidR="0074604A">
        <w:rPr>
          <w:rFonts w:ascii="Arial" w:eastAsia="Arial" w:hAnsi="Arial" w:cs="Arial"/>
        </w:rPr>
        <w:t>ule 21 of the pr</w:t>
      </w:r>
      <w:r w:rsidR="00DA1E75">
        <w:rPr>
          <w:rFonts w:ascii="Arial" w:eastAsia="Arial" w:hAnsi="Arial" w:cs="Arial"/>
        </w:rPr>
        <w:t>i</w:t>
      </w:r>
      <w:r w:rsidR="0074604A">
        <w:rPr>
          <w:rFonts w:ascii="Arial" w:eastAsia="Arial" w:hAnsi="Arial" w:cs="Arial"/>
        </w:rPr>
        <w:t>ncip</w:t>
      </w:r>
      <w:r w:rsidR="00DA1E75">
        <w:rPr>
          <w:rFonts w:ascii="Arial" w:eastAsia="Arial" w:hAnsi="Arial" w:cs="Arial"/>
        </w:rPr>
        <w:t>a</w:t>
      </w:r>
      <w:r w:rsidR="0074604A">
        <w:rPr>
          <w:rFonts w:ascii="Arial" w:eastAsia="Arial" w:hAnsi="Arial" w:cs="Arial"/>
        </w:rPr>
        <w:t>l Rules amended</w:t>
      </w:r>
      <w:bookmarkEnd w:id="24"/>
    </w:p>
    <w:p w14:paraId="166712B7" w14:textId="5120C500" w:rsidR="000A0C5F" w:rsidRDefault="00A54E53" w:rsidP="00D316FD">
      <w:pPr>
        <w:pStyle w:val="iLAWS301Paragraphunnumbered"/>
      </w:pPr>
      <w:r>
        <w:t xml:space="preserve">Rule 21 of the principal Rules </w:t>
      </w:r>
      <w:r w:rsidR="009A4424">
        <w:t>is</w:t>
      </w:r>
      <w:r>
        <w:t xml:space="preserve"> amended by deleting</w:t>
      </w:r>
      <w:r w:rsidR="000A0C5F">
        <w:t xml:space="preserve"> paragraph (2) and substituting the following</w:t>
      </w:r>
      <w:r w:rsidR="00DE69F4">
        <w:t>—</w:t>
      </w:r>
    </w:p>
    <w:p w14:paraId="7540F4C6" w14:textId="21F6A7A0" w:rsidR="007B168E" w:rsidRPr="007B168E" w:rsidRDefault="007B168E" w:rsidP="007B168E">
      <w:pPr>
        <w:shd w:val="clear" w:color="auto" w:fill="FFFFFF"/>
        <w:tabs>
          <w:tab w:val="left" w:pos="1134"/>
        </w:tabs>
        <w:spacing w:after="0" w:line="240" w:lineRule="auto"/>
        <w:ind w:left="0" w:right="0" w:firstLine="567"/>
        <w:textAlignment w:val="baseline"/>
        <w:rPr>
          <w:color w:val="auto"/>
          <w:sz w:val="24"/>
          <w:szCs w:val="24"/>
        </w:rPr>
      </w:pPr>
      <w:r w:rsidRPr="007B168E">
        <w:rPr>
          <w:color w:val="auto"/>
          <w:sz w:val="24"/>
          <w:szCs w:val="24"/>
        </w:rPr>
        <w:t>“(2)</w:t>
      </w:r>
      <w:r w:rsidRPr="007B168E">
        <w:rPr>
          <w:color w:val="auto"/>
          <w:sz w:val="24"/>
          <w:szCs w:val="24"/>
        </w:rPr>
        <w:tab/>
        <w:t>Any person, who</w:t>
      </w:r>
      <w:bookmarkStart w:id="25" w:name="_Hlk148320755"/>
      <w:r>
        <w:t>—</w:t>
      </w:r>
      <w:bookmarkEnd w:id="25"/>
    </w:p>
    <w:p w14:paraId="57FB5800" w14:textId="4BC68203" w:rsidR="007B168E" w:rsidRPr="007B168E" w:rsidRDefault="007B168E" w:rsidP="007B168E">
      <w:pPr>
        <w:shd w:val="clear" w:color="auto" w:fill="FFFFFF"/>
        <w:spacing w:after="0" w:line="240" w:lineRule="auto"/>
        <w:ind w:left="1843" w:right="0" w:hanging="709"/>
        <w:textAlignment w:val="baseline"/>
        <w:rPr>
          <w:color w:val="auto"/>
          <w:sz w:val="24"/>
          <w:szCs w:val="24"/>
        </w:rPr>
      </w:pPr>
      <w:r>
        <w:rPr>
          <w:color w:val="auto"/>
          <w:sz w:val="24"/>
          <w:szCs w:val="24"/>
        </w:rPr>
        <w:t>(a)</w:t>
      </w:r>
      <w:r>
        <w:rPr>
          <w:color w:val="auto"/>
          <w:sz w:val="24"/>
          <w:szCs w:val="24"/>
        </w:rPr>
        <w:tab/>
      </w:r>
      <w:r w:rsidRPr="007B168E">
        <w:rPr>
          <w:color w:val="auto"/>
          <w:sz w:val="24"/>
          <w:szCs w:val="24"/>
        </w:rPr>
        <w:t xml:space="preserve">has any interest in or financial connections the offeror or offeree, </w:t>
      </w:r>
    </w:p>
    <w:p w14:paraId="1113F2B2" w14:textId="77777777" w:rsidR="00416261" w:rsidRDefault="007B168E" w:rsidP="007B168E">
      <w:pPr>
        <w:shd w:val="clear" w:color="auto" w:fill="FFFFFF"/>
        <w:spacing w:after="0" w:line="240" w:lineRule="auto"/>
        <w:ind w:left="1843" w:right="0" w:hanging="709"/>
        <w:textAlignment w:val="baseline"/>
        <w:rPr>
          <w:color w:val="000000" w:themeColor="text1"/>
          <w:sz w:val="24"/>
          <w:szCs w:val="24"/>
        </w:rPr>
      </w:pPr>
      <w:r>
        <w:rPr>
          <w:color w:val="555555"/>
          <w:sz w:val="24"/>
          <w:szCs w:val="24"/>
        </w:rPr>
        <w:t>(b)</w:t>
      </w:r>
      <w:r>
        <w:rPr>
          <w:color w:val="555555"/>
          <w:sz w:val="24"/>
          <w:szCs w:val="24"/>
        </w:rPr>
        <w:tab/>
      </w:r>
      <w:r w:rsidRPr="007B168E">
        <w:rPr>
          <w:color w:val="555555"/>
          <w:sz w:val="24"/>
          <w:szCs w:val="24"/>
        </w:rPr>
        <w:t>is in the same group as the independent adviser to an</w:t>
      </w:r>
      <w:r w:rsidR="00DA1E75">
        <w:rPr>
          <w:color w:val="555555"/>
          <w:sz w:val="24"/>
          <w:szCs w:val="24"/>
        </w:rPr>
        <w:t xml:space="preserve"> </w:t>
      </w:r>
      <w:hyperlink r:id="rId8" w:history="1">
        <w:r w:rsidRPr="007B168E">
          <w:rPr>
            <w:color w:val="000000" w:themeColor="text1"/>
            <w:sz w:val="24"/>
            <w:szCs w:val="24"/>
            <w:bdr w:val="none" w:sz="0" w:space="0" w:color="auto" w:frame="1"/>
          </w:rPr>
          <w:t>offeror</w:t>
        </w:r>
      </w:hyperlink>
      <w:r w:rsidR="00416261">
        <w:rPr>
          <w:color w:val="000000" w:themeColor="text1"/>
          <w:sz w:val="24"/>
          <w:szCs w:val="24"/>
        </w:rPr>
        <w:t xml:space="preserve">, </w:t>
      </w:r>
    </w:p>
    <w:p w14:paraId="606BCC71" w14:textId="0A05261D" w:rsidR="007B168E" w:rsidRPr="007B168E" w:rsidRDefault="00416261" w:rsidP="007B168E">
      <w:pPr>
        <w:shd w:val="clear" w:color="auto" w:fill="FFFFFF"/>
        <w:spacing w:after="0" w:line="240" w:lineRule="auto"/>
        <w:ind w:left="1843" w:right="0" w:hanging="709"/>
        <w:textAlignment w:val="baseline"/>
        <w:rPr>
          <w:color w:val="auto"/>
          <w:sz w:val="24"/>
          <w:szCs w:val="24"/>
        </w:rPr>
      </w:pPr>
      <w:r w:rsidRPr="007B168E">
        <w:rPr>
          <w:color w:val="auto"/>
          <w:sz w:val="24"/>
          <w:szCs w:val="24"/>
        </w:rPr>
        <w:t>shall not act as independent adviser.</w:t>
      </w:r>
      <w:r w:rsidR="00DA1E75">
        <w:rPr>
          <w:color w:val="555555"/>
          <w:sz w:val="24"/>
          <w:szCs w:val="24"/>
        </w:rPr>
        <w:t>”.</w:t>
      </w:r>
    </w:p>
    <w:p w14:paraId="60EAB856" w14:textId="22A5F650" w:rsidR="00D316FD" w:rsidRDefault="00701528" w:rsidP="00701528">
      <w:pPr>
        <w:pStyle w:val="iLAWS300Article"/>
      </w:pPr>
      <w:bookmarkStart w:id="26" w:name="_Toc151455619"/>
      <w:bookmarkStart w:id="27" w:name="_Hlk148320878"/>
      <w:r>
        <w:rPr>
          <w:rFonts w:ascii="Arial" w:eastAsia="Arial" w:hAnsi="Arial" w:cs="Arial"/>
        </w:rPr>
        <w:t>1</w:t>
      </w:r>
      <w:r w:rsidR="00EA5B3B">
        <w:rPr>
          <w:rFonts w:ascii="Arial" w:eastAsia="Arial" w:hAnsi="Arial" w:cs="Arial"/>
        </w:rPr>
        <w:t>2</w:t>
      </w:r>
      <w:r w:rsidRPr="00441EF3">
        <w:rPr>
          <w:rFonts w:ascii="Arial" w:eastAsia="Arial" w:hAnsi="Arial" w:cs="Arial"/>
        </w:rPr>
        <w:tab/>
      </w:r>
      <w:r w:rsidR="000D6F30">
        <w:rPr>
          <w:rFonts w:ascii="Arial" w:eastAsia="Arial" w:hAnsi="Arial" w:cs="Arial"/>
        </w:rPr>
        <w:t>Rule 25 of the principal Rules amended</w:t>
      </w:r>
      <w:bookmarkEnd w:id="26"/>
    </w:p>
    <w:bookmarkEnd w:id="27"/>
    <w:p w14:paraId="25B522F5" w14:textId="2BBBD6CC" w:rsidR="003A2EBF" w:rsidRDefault="000D6F30" w:rsidP="00701528">
      <w:pPr>
        <w:pStyle w:val="iLAWS301Paragraphunnumbered"/>
        <w:ind w:left="1134" w:hanging="567"/>
      </w:pPr>
      <w:r>
        <w:t>Rule 2</w:t>
      </w:r>
      <w:r w:rsidR="003A2EBF">
        <w:t>5 of the principal Rule</w:t>
      </w:r>
      <w:r w:rsidR="009A4424">
        <w:t>s</w:t>
      </w:r>
      <w:r w:rsidR="003A2EBF">
        <w:t xml:space="preserve"> is amended by inserting after paragraph</w:t>
      </w:r>
      <w:r w:rsidR="000B77CD">
        <w:t xml:space="preserve"> (2) the following paragraph</w:t>
      </w:r>
      <w:bookmarkStart w:id="28" w:name="_Hlk148321006"/>
      <w:r w:rsidR="003A2EBF">
        <w:t>—</w:t>
      </w:r>
      <w:bookmarkEnd w:id="28"/>
    </w:p>
    <w:p w14:paraId="73EC4A5D" w14:textId="1E52D527" w:rsidR="003A2EBF" w:rsidRDefault="003A2EBF" w:rsidP="005A6073">
      <w:pPr>
        <w:pStyle w:val="iLAWS301Paragraphunnumbered"/>
        <w:tabs>
          <w:tab w:val="left" w:pos="1134"/>
          <w:tab w:val="left" w:pos="1701"/>
        </w:tabs>
        <w:ind w:left="1134" w:hanging="567"/>
      </w:pPr>
      <w:r>
        <w:t>“(</w:t>
      </w:r>
      <w:r w:rsidR="00244CE3">
        <w:t>3</w:t>
      </w:r>
      <w:r>
        <w:t>)</w:t>
      </w:r>
      <w:r>
        <w:tab/>
      </w:r>
      <w:r w:rsidRPr="003A2EBF">
        <w:t>No person who is privy to confidential and price</w:t>
      </w:r>
      <w:r w:rsidR="00C715EB">
        <w:t>-</w:t>
      </w:r>
      <w:r w:rsidRPr="003A2EBF">
        <w:t>sensitive information concerning the offer may make a recommendation to any other person as to dealing in the relevant securities between the time when there is reason to believe that an offer or revised offer is contemplated and the public announcement of the offer or revised offer, or of the termination of the takeover discussions.</w:t>
      </w:r>
      <w:r>
        <w:t>”.</w:t>
      </w:r>
    </w:p>
    <w:p w14:paraId="715F0694" w14:textId="6707FD8C" w:rsidR="000B77CD" w:rsidRDefault="000B77CD" w:rsidP="000B77CD">
      <w:pPr>
        <w:pStyle w:val="iLAWS300Article"/>
      </w:pPr>
      <w:bookmarkStart w:id="29" w:name="_Toc151455620"/>
      <w:bookmarkStart w:id="30" w:name="_Hlk148321209"/>
      <w:r>
        <w:rPr>
          <w:rFonts w:ascii="Arial" w:eastAsia="Arial" w:hAnsi="Arial" w:cs="Arial"/>
        </w:rPr>
        <w:t>1</w:t>
      </w:r>
      <w:r w:rsidR="00EA5B3B">
        <w:rPr>
          <w:rFonts w:ascii="Arial" w:eastAsia="Arial" w:hAnsi="Arial" w:cs="Arial"/>
        </w:rPr>
        <w:t>3</w:t>
      </w:r>
      <w:r w:rsidRPr="00441EF3">
        <w:rPr>
          <w:rFonts w:ascii="Arial" w:eastAsia="Arial" w:hAnsi="Arial" w:cs="Arial"/>
        </w:rPr>
        <w:tab/>
      </w:r>
      <w:r>
        <w:rPr>
          <w:rFonts w:ascii="Arial" w:eastAsia="Arial" w:hAnsi="Arial" w:cs="Arial"/>
        </w:rPr>
        <w:t>Rule 30 of the principal Rules amended</w:t>
      </w:r>
      <w:bookmarkEnd w:id="29"/>
    </w:p>
    <w:bookmarkEnd w:id="30"/>
    <w:p w14:paraId="185F83F2" w14:textId="248FA012" w:rsidR="000B77CD" w:rsidRDefault="000B77CD" w:rsidP="000B77CD">
      <w:pPr>
        <w:pStyle w:val="iLAWS301Paragraphunnumbered"/>
        <w:ind w:left="1134" w:hanging="567"/>
      </w:pPr>
      <w:r>
        <w:t>Rule 30 of the principal Rule is amended by inserting after paragraph (5) the following paragraph</w:t>
      </w:r>
      <w:bookmarkStart w:id="31" w:name="_Hlk148321304"/>
      <w:r w:rsidR="00926597">
        <w:t>—</w:t>
      </w:r>
      <w:bookmarkEnd w:id="31"/>
    </w:p>
    <w:p w14:paraId="4DAD4CAF" w14:textId="11C41DE7" w:rsidR="000B77CD" w:rsidRDefault="000B77CD" w:rsidP="000B77CD">
      <w:pPr>
        <w:spacing w:after="0" w:line="240" w:lineRule="auto"/>
        <w:ind w:left="567" w:right="0" w:firstLine="0"/>
        <w:contextualSpacing/>
        <w:rPr>
          <w:kern w:val="2"/>
          <w:sz w:val="24"/>
          <w14:ligatures w14:val="standardContextual"/>
        </w:rPr>
      </w:pPr>
      <w:r w:rsidRPr="000B77CD">
        <w:rPr>
          <w:kern w:val="2"/>
          <w:sz w:val="24"/>
          <w14:ligatures w14:val="standardContextual"/>
        </w:rPr>
        <w:t>“(5A)</w:t>
      </w:r>
      <w:r w:rsidRPr="000B77CD">
        <w:rPr>
          <w:kern w:val="2"/>
          <w:sz w:val="24"/>
          <w14:ligatures w14:val="standardContextual"/>
        </w:rPr>
        <w:tab/>
        <w:t xml:space="preserve">The board of the offeree shall in accordance with </w:t>
      </w:r>
      <w:r w:rsidR="009A4424">
        <w:rPr>
          <w:kern w:val="2"/>
          <w:sz w:val="24"/>
          <w14:ligatures w14:val="standardContextual"/>
        </w:rPr>
        <w:t>r</w:t>
      </w:r>
      <w:r w:rsidRPr="000B77CD">
        <w:rPr>
          <w:kern w:val="2"/>
          <w:sz w:val="24"/>
          <w14:ligatures w14:val="standardContextual"/>
        </w:rPr>
        <w:t>ule 18 provide its reply document to the shareholders to offerer.”.</w:t>
      </w:r>
    </w:p>
    <w:p w14:paraId="79B06642" w14:textId="0B769C81" w:rsidR="00E26382" w:rsidRDefault="00E26382" w:rsidP="00E26382">
      <w:pPr>
        <w:pStyle w:val="iLAWS300Article"/>
      </w:pPr>
      <w:bookmarkStart w:id="32" w:name="_Toc151455621"/>
      <w:r>
        <w:rPr>
          <w:rFonts w:ascii="Arial" w:eastAsia="Arial" w:hAnsi="Arial" w:cs="Arial"/>
        </w:rPr>
        <w:lastRenderedPageBreak/>
        <w:t>1</w:t>
      </w:r>
      <w:r w:rsidR="00EA5B3B">
        <w:rPr>
          <w:rFonts w:ascii="Arial" w:eastAsia="Arial" w:hAnsi="Arial" w:cs="Arial"/>
        </w:rPr>
        <w:t>4</w:t>
      </w:r>
      <w:r w:rsidRPr="00441EF3">
        <w:rPr>
          <w:rFonts w:ascii="Arial" w:eastAsia="Arial" w:hAnsi="Arial" w:cs="Arial"/>
        </w:rPr>
        <w:tab/>
      </w:r>
      <w:r>
        <w:rPr>
          <w:rFonts w:ascii="Arial" w:eastAsia="Arial" w:hAnsi="Arial" w:cs="Arial"/>
        </w:rPr>
        <w:t>Rule 45 of the principal Rules amended</w:t>
      </w:r>
      <w:bookmarkEnd w:id="32"/>
    </w:p>
    <w:p w14:paraId="1183ABB0" w14:textId="77489CBA" w:rsidR="00E26382" w:rsidRDefault="00E26382" w:rsidP="00E26382">
      <w:pPr>
        <w:spacing w:after="0" w:line="240" w:lineRule="auto"/>
        <w:ind w:left="567" w:right="0" w:firstLine="0"/>
        <w:contextualSpacing/>
      </w:pPr>
      <w:r>
        <w:t xml:space="preserve">Rule 45 of the principal Rule is amended </w:t>
      </w:r>
      <w:r w:rsidR="00B52C34">
        <w:t>by deleting paragraph (1) and replacing it with the following paragraph</w:t>
      </w:r>
      <w:r w:rsidR="003E5FA5">
        <w:t>—</w:t>
      </w:r>
    </w:p>
    <w:p w14:paraId="4B9E2C68" w14:textId="77777777" w:rsidR="003E5FA5" w:rsidRDefault="003E5FA5" w:rsidP="003E5FA5">
      <w:pPr>
        <w:tabs>
          <w:tab w:val="left" w:pos="1134"/>
        </w:tabs>
        <w:spacing w:after="0" w:line="240" w:lineRule="auto"/>
        <w:ind w:left="1134" w:right="0" w:hanging="567"/>
        <w:contextualSpacing/>
      </w:pPr>
    </w:p>
    <w:p w14:paraId="49B384DF" w14:textId="713264B1" w:rsidR="00E26382" w:rsidRPr="000B77CD" w:rsidRDefault="003E5FA5" w:rsidP="003E5FA5">
      <w:pPr>
        <w:tabs>
          <w:tab w:val="left" w:pos="1134"/>
        </w:tabs>
        <w:spacing w:after="0" w:line="240" w:lineRule="auto"/>
        <w:ind w:left="1134" w:right="0" w:hanging="567"/>
        <w:contextualSpacing/>
        <w:rPr>
          <w:kern w:val="2"/>
          <w:sz w:val="24"/>
          <w14:ligatures w14:val="standardContextual"/>
        </w:rPr>
      </w:pPr>
      <w:r>
        <w:t>“</w:t>
      </w:r>
      <w:r w:rsidR="00B52C34">
        <w:t>(</w:t>
      </w:r>
      <w:r>
        <w:t>1)</w:t>
      </w:r>
      <w:r>
        <w:tab/>
      </w:r>
      <w:r w:rsidR="00E26382">
        <w:t>The Chief Executive shall, establish a panel which shall be known as the Takeover Advisory Panel to make recommendations to the Commission on an application under rule 43 or on any matters relating to the administration of these rules.</w:t>
      </w:r>
      <w:r>
        <w:t>”.</w:t>
      </w:r>
    </w:p>
    <w:p w14:paraId="078D99A2" w14:textId="6DC6DBD4" w:rsidR="00701528" w:rsidRPr="0067067C" w:rsidRDefault="003E5FA5" w:rsidP="00701528">
      <w:pPr>
        <w:pStyle w:val="iLAWS300Article"/>
        <w:rPr>
          <w:rFonts w:ascii="Arial" w:eastAsia="Arial" w:hAnsi="Arial" w:cs="Arial"/>
        </w:rPr>
      </w:pPr>
      <w:bookmarkStart w:id="33" w:name="_Toc136474878"/>
      <w:bookmarkStart w:id="34" w:name="_Toc151455622"/>
      <w:r>
        <w:rPr>
          <w:rFonts w:ascii="Arial" w:eastAsia="Arial" w:hAnsi="Arial" w:cs="Arial"/>
        </w:rPr>
        <w:t>1</w:t>
      </w:r>
      <w:r w:rsidR="00B04B68">
        <w:rPr>
          <w:rFonts w:ascii="Arial" w:eastAsia="Arial" w:hAnsi="Arial" w:cs="Arial"/>
        </w:rPr>
        <w:t>5</w:t>
      </w:r>
      <w:r w:rsidR="00701528" w:rsidRPr="0067067C">
        <w:rPr>
          <w:rFonts w:ascii="Arial" w:eastAsia="Arial" w:hAnsi="Arial" w:cs="Arial"/>
        </w:rPr>
        <w:tab/>
        <w:t>Commencement</w:t>
      </w:r>
      <w:bookmarkEnd w:id="33"/>
      <w:bookmarkEnd w:id="34"/>
    </w:p>
    <w:p w14:paraId="2891C37B" w14:textId="5E4B9A1E" w:rsidR="00D316FD" w:rsidRDefault="00701528" w:rsidP="00871460">
      <w:pPr>
        <w:pStyle w:val="iLAWS301Paragraphunnumbered"/>
        <w:rPr>
          <w:rFonts w:eastAsia="Arial"/>
        </w:rPr>
      </w:pPr>
      <w:bookmarkStart w:id="35" w:name="_Toc136474879"/>
      <w:r>
        <w:rPr>
          <w:rFonts w:eastAsia="Arial"/>
        </w:rPr>
        <w:t>These Rules come into force on [   ]</w:t>
      </w:r>
      <w:bookmarkEnd w:id="35"/>
      <w:r>
        <w:rPr>
          <w:rFonts w:eastAsia="Arial"/>
        </w:rPr>
        <w:t>.</w:t>
      </w:r>
    </w:p>
    <w:p w14:paraId="4D231C4D" w14:textId="77777777" w:rsidR="008F5FF8" w:rsidRDefault="008F5FF8" w:rsidP="008F5FF8">
      <w:pPr>
        <w:pStyle w:val="iLAWS301Paragraphunnumbered"/>
        <w:rPr>
          <w:rFonts w:eastAsia="Arial"/>
        </w:rPr>
      </w:pPr>
    </w:p>
    <w:p w14:paraId="57018492" w14:textId="77777777" w:rsidR="008F5FF8" w:rsidRDefault="008F5FF8" w:rsidP="008F5FF8">
      <w:pPr>
        <w:spacing w:after="3" w:line="256" w:lineRule="auto"/>
        <w:ind w:left="10" w:right="615" w:hanging="10"/>
        <w:rPr>
          <w:rFonts w:eastAsia="Palatino Linotype"/>
          <w:kern w:val="2"/>
          <w14:ligatures w14:val="standardContextual"/>
        </w:rPr>
      </w:pPr>
      <w:r>
        <w:rPr>
          <w:rFonts w:eastAsia="Palatino Linotype"/>
          <w:kern w:val="2"/>
          <w14:ligatures w14:val="standardContextual"/>
        </w:rPr>
        <w:t>Made by the Financial Services Commission on [*]</w:t>
      </w:r>
    </w:p>
    <w:p w14:paraId="6D63FB08" w14:textId="77777777" w:rsidR="008F5FF8" w:rsidRDefault="008F5FF8" w:rsidP="00871460">
      <w:pPr>
        <w:pStyle w:val="iLAWS301Paragraphunnumbered"/>
        <w:rPr>
          <w:rFonts w:eastAsia="Arial"/>
        </w:rPr>
      </w:pPr>
    </w:p>
    <w:sectPr w:rsidR="008F5FF8">
      <w:footerReference w:type="default" r:id="rId9"/>
      <w:pgSz w:w="11906" w:h="16841"/>
      <w:pgMar w:top="1135" w:right="1554" w:bottom="11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6242" w14:textId="77777777" w:rsidR="00987BEB" w:rsidRDefault="00987BEB" w:rsidP="00BE1274">
      <w:pPr>
        <w:spacing w:after="0" w:line="240" w:lineRule="auto"/>
      </w:pPr>
      <w:r>
        <w:separator/>
      </w:r>
    </w:p>
  </w:endnote>
  <w:endnote w:type="continuationSeparator" w:id="0">
    <w:p w14:paraId="466B34C5" w14:textId="77777777" w:rsidR="00987BEB" w:rsidRDefault="00987BEB" w:rsidP="00BE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625889"/>
      <w:docPartObj>
        <w:docPartGallery w:val="Page Numbers (Bottom of Page)"/>
        <w:docPartUnique/>
      </w:docPartObj>
    </w:sdtPr>
    <w:sdtEndPr>
      <w:rPr>
        <w:noProof/>
      </w:rPr>
    </w:sdtEndPr>
    <w:sdtContent>
      <w:p w14:paraId="089F9C05" w14:textId="15CEB7DD" w:rsidR="001404E4" w:rsidRDefault="001404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82252E" w14:textId="77777777" w:rsidR="001404E4" w:rsidRDefault="00140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2E42" w14:textId="77777777" w:rsidR="00987BEB" w:rsidRDefault="00987BEB" w:rsidP="00BE1274">
      <w:pPr>
        <w:spacing w:after="0" w:line="240" w:lineRule="auto"/>
      </w:pPr>
      <w:r>
        <w:separator/>
      </w:r>
    </w:p>
  </w:footnote>
  <w:footnote w:type="continuationSeparator" w:id="0">
    <w:p w14:paraId="1113D903" w14:textId="77777777" w:rsidR="00987BEB" w:rsidRDefault="00987BEB" w:rsidP="00BE1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5C62"/>
    <w:multiLevelType w:val="hybridMultilevel"/>
    <w:tmpl w:val="DAF6AFA4"/>
    <w:lvl w:ilvl="0" w:tplc="B916F13A">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6135E6"/>
    <w:multiLevelType w:val="hybridMultilevel"/>
    <w:tmpl w:val="ED9401FE"/>
    <w:lvl w:ilvl="0" w:tplc="EC809448">
      <w:start w:val="1"/>
      <w:numFmt w:val="decimal"/>
      <w:lvlText w:val="(%1)"/>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86215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072E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98CE8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60D8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84E3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5EF1D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0122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C0E17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643A13"/>
    <w:multiLevelType w:val="hybridMultilevel"/>
    <w:tmpl w:val="4FA24904"/>
    <w:lvl w:ilvl="0" w:tplc="86144D4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E02DC6">
      <w:start w:val="4"/>
      <w:numFmt w:val="lowerRoman"/>
      <w:lvlText w:val="(%2)"/>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B0C3F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72127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0EB37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72E57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6E268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F02D6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20497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BB06C7"/>
    <w:multiLevelType w:val="hybridMultilevel"/>
    <w:tmpl w:val="E3E8EABA"/>
    <w:lvl w:ilvl="0" w:tplc="FFFFFFFF">
      <w:start w:val="1"/>
      <w:numFmt w:val="lowerLetter"/>
      <w:lvlText w:val="(%1)"/>
      <w:lvlJc w:val="left"/>
      <w:pPr>
        <w:ind w:left="2770" w:hanging="360"/>
      </w:pPr>
      <w:rPr>
        <w:rFonts w:hint="default"/>
      </w:rPr>
    </w:lvl>
    <w:lvl w:ilvl="1" w:tplc="0809001B">
      <w:start w:val="1"/>
      <w:numFmt w:val="lowerRoman"/>
      <w:lvlText w:val="%2."/>
      <w:lvlJc w:val="right"/>
      <w:pPr>
        <w:ind w:left="3490" w:hanging="360"/>
      </w:pPr>
    </w:lvl>
    <w:lvl w:ilvl="2" w:tplc="FFFFFFFF">
      <w:start w:val="1"/>
      <w:numFmt w:val="lowerRoman"/>
      <w:lvlText w:val="%3."/>
      <w:lvlJc w:val="right"/>
      <w:pPr>
        <w:ind w:left="4210" w:hanging="180"/>
      </w:pPr>
    </w:lvl>
    <w:lvl w:ilvl="3" w:tplc="FFFFFFFF">
      <w:start w:val="1"/>
      <w:numFmt w:val="decimal"/>
      <w:lvlText w:val="%4."/>
      <w:lvlJc w:val="left"/>
      <w:pPr>
        <w:ind w:left="4930" w:hanging="360"/>
      </w:pPr>
    </w:lvl>
    <w:lvl w:ilvl="4" w:tplc="FFFFFFFF" w:tentative="1">
      <w:start w:val="1"/>
      <w:numFmt w:val="lowerLetter"/>
      <w:lvlText w:val="%5."/>
      <w:lvlJc w:val="left"/>
      <w:pPr>
        <w:ind w:left="5650" w:hanging="360"/>
      </w:pPr>
    </w:lvl>
    <w:lvl w:ilvl="5" w:tplc="FFFFFFFF">
      <w:start w:val="1"/>
      <w:numFmt w:val="lowerRoman"/>
      <w:lvlText w:val="%6."/>
      <w:lvlJc w:val="right"/>
      <w:pPr>
        <w:ind w:left="6370" w:hanging="180"/>
      </w:pPr>
    </w:lvl>
    <w:lvl w:ilvl="6" w:tplc="FFFFFFFF" w:tentative="1">
      <w:start w:val="1"/>
      <w:numFmt w:val="decimal"/>
      <w:lvlText w:val="%7."/>
      <w:lvlJc w:val="left"/>
      <w:pPr>
        <w:ind w:left="7090" w:hanging="360"/>
      </w:pPr>
    </w:lvl>
    <w:lvl w:ilvl="7" w:tplc="FFFFFFFF" w:tentative="1">
      <w:start w:val="1"/>
      <w:numFmt w:val="lowerLetter"/>
      <w:lvlText w:val="%8."/>
      <w:lvlJc w:val="left"/>
      <w:pPr>
        <w:ind w:left="7810" w:hanging="360"/>
      </w:pPr>
    </w:lvl>
    <w:lvl w:ilvl="8" w:tplc="FFFFFFFF" w:tentative="1">
      <w:start w:val="1"/>
      <w:numFmt w:val="lowerRoman"/>
      <w:lvlText w:val="%9."/>
      <w:lvlJc w:val="right"/>
      <w:pPr>
        <w:ind w:left="8530" w:hanging="180"/>
      </w:pPr>
    </w:lvl>
  </w:abstractNum>
  <w:abstractNum w:abstractNumId="4" w15:restartNumberingAfterBreak="0">
    <w:nsid w:val="0B252BBF"/>
    <w:multiLevelType w:val="hybridMultilevel"/>
    <w:tmpl w:val="FCA60E70"/>
    <w:lvl w:ilvl="0" w:tplc="49F221E0">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961B27"/>
    <w:multiLevelType w:val="hybridMultilevel"/>
    <w:tmpl w:val="ABB03286"/>
    <w:lvl w:ilvl="0" w:tplc="1E3ADC08">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AFF833FC">
      <w:start w:val="1"/>
      <w:numFmt w:val="lowerRoman"/>
      <w:lvlText w:val="(%4)"/>
      <w:lvlJc w:val="left"/>
      <w:pPr>
        <w:ind w:left="2880" w:hanging="360"/>
      </w:pPr>
      <w:rPr>
        <w:rFonts w:ascii="Times New Roman" w:eastAsia="Calibri" w:hAnsi="Times New Roman" w:cs="Times New Roman"/>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ED42C5"/>
    <w:multiLevelType w:val="hybridMultilevel"/>
    <w:tmpl w:val="73AE55B8"/>
    <w:lvl w:ilvl="0" w:tplc="0D5CFC56">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9A0E8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8F5A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F2F14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6E8D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D61E3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4BF3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4EF8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1EC32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2C02F4"/>
    <w:multiLevelType w:val="hybridMultilevel"/>
    <w:tmpl w:val="03902B3C"/>
    <w:lvl w:ilvl="0" w:tplc="24FAD80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422856">
      <w:start w:val="5"/>
      <w:numFmt w:val="lowerLetter"/>
      <w:lvlText w:val="(%2)"/>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C051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2688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AAF6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C81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2254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2CEF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A686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A63241"/>
    <w:multiLevelType w:val="hybridMultilevel"/>
    <w:tmpl w:val="62E67D46"/>
    <w:lvl w:ilvl="0" w:tplc="A2423BEE">
      <w:start w:val="1"/>
      <w:numFmt w:val="lowerLetter"/>
      <w:lvlText w:val="(%1)"/>
      <w:lvlJc w:val="left"/>
      <w:pPr>
        <w:ind w:left="1437" w:hanging="87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AAA3328"/>
    <w:multiLevelType w:val="hybridMultilevel"/>
    <w:tmpl w:val="611CFEFA"/>
    <w:lvl w:ilvl="0" w:tplc="70E20DE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CF52582"/>
    <w:multiLevelType w:val="hybridMultilevel"/>
    <w:tmpl w:val="A08C9482"/>
    <w:lvl w:ilvl="0" w:tplc="70E20DE0">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22C3D42"/>
    <w:multiLevelType w:val="hybridMultilevel"/>
    <w:tmpl w:val="D70446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70E20DE0">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065544"/>
    <w:multiLevelType w:val="multilevel"/>
    <w:tmpl w:val="BFE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E6587"/>
    <w:multiLevelType w:val="hybridMultilevel"/>
    <w:tmpl w:val="A6D8371A"/>
    <w:lvl w:ilvl="0" w:tplc="CFE876DE">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C667893"/>
    <w:multiLevelType w:val="hybridMultilevel"/>
    <w:tmpl w:val="CB6CA372"/>
    <w:lvl w:ilvl="0" w:tplc="C24ED248">
      <w:start w:val="1"/>
      <w:numFmt w:val="lowerLetter"/>
      <w:lvlText w:val="(%1)"/>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667D1E">
      <w:start w:val="1"/>
      <w:numFmt w:val="lowerRoman"/>
      <w:lvlText w:val="(%2)"/>
      <w:lvlJc w:val="left"/>
      <w:pPr>
        <w:ind w:left="3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46B6B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CE88D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82793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AE204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10835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EE5F7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60EF8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9B3568"/>
    <w:multiLevelType w:val="hybridMultilevel"/>
    <w:tmpl w:val="8376ACE2"/>
    <w:lvl w:ilvl="0" w:tplc="1E3ADC08">
      <w:start w:val="1"/>
      <w:numFmt w:val="lowerLetter"/>
      <w:lvlText w:val="(%1)"/>
      <w:lvlJc w:val="left"/>
      <w:pPr>
        <w:ind w:left="1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232AB4"/>
    <w:multiLevelType w:val="hybridMultilevel"/>
    <w:tmpl w:val="D2F0F614"/>
    <w:lvl w:ilvl="0" w:tplc="01A4531C">
      <w:start w:val="1"/>
      <w:numFmt w:val="decimal"/>
      <w:lvlText w:val="(%1)"/>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5C8E0A">
      <w:start w:val="2"/>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E604B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EB3F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E4485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EE775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3CFAB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8EBB9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5EE9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4F0BF7"/>
    <w:multiLevelType w:val="hybridMultilevel"/>
    <w:tmpl w:val="0E1489E8"/>
    <w:lvl w:ilvl="0" w:tplc="509012A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0746BAD"/>
    <w:multiLevelType w:val="hybridMultilevel"/>
    <w:tmpl w:val="4574E8AA"/>
    <w:lvl w:ilvl="0" w:tplc="7B90C7AA">
      <w:start w:val="2"/>
      <w:numFmt w:val="decimal"/>
      <w:lvlText w:val="%1"/>
      <w:lvlJc w:val="left"/>
      <w:pPr>
        <w:ind w:left="1817"/>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1" w:tplc="795E76CA">
      <w:start w:val="1"/>
      <w:numFmt w:val="lowerLetter"/>
      <w:lvlText w:val="(%2)"/>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2C2C16">
      <w:start w:val="1"/>
      <w:numFmt w:val="lowerRoman"/>
      <w:lvlText w:val="(%3)"/>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ACA6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E96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325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AC84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52F1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CC41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7A4694"/>
    <w:multiLevelType w:val="hybridMultilevel"/>
    <w:tmpl w:val="E8C0B51A"/>
    <w:lvl w:ilvl="0" w:tplc="6616B5A0">
      <w:start w:val="1"/>
      <w:numFmt w:val="decimal"/>
      <w:lvlText w:val="(%1)"/>
      <w:lvlJc w:val="left"/>
      <w:pPr>
        <w:ind w:left="1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6EC1BE">
      <w:start w:val="1"/>
      <w:numFmt w:val="lowerLetter"/>
      <w:lvlText w:val="(%2)"/>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06512A">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AC022C">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16CA26">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62FFB8">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8AAB90">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421DBA">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E8891E">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1F4CD3"/>
    <w:multiLevelType w:val="hybridMultilevel"/>
    <w:tmpl w:val="F738C26A"/>
    <w:lvl w:ilvl="0" w:tplc="70E20D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C119DE"/>
    <w:multiLevelType w:val="multilevel"/>
    <w:tmpl w:val="233A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2F7E7C"/>
    <w:multiLevelType w:val="hybridMultilevel"/>
    <w:tmpl w:val="24A88AC4"/>
    <w:lvl w:ilvl="0" w:tplc="FD204C64">
      <w:start w:val="1"/>
      <w:numFmt w:val="lowerLetter"/>
      <w:lvlText w:val="(%1)"/>
      <w:lvlJc w:val="left"/>
      <w:pPr>
        <w:ind w:left="2166" w:hanging="465"/>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3" w15:restartNumberingAfterBreak="0">
    <w:nsid w:val="63B972AE"/>
    <w:multiLevelType w:val="hybridMultilevel"/>
    <w:tmpl w:val="A4141782"/>
    <w:lvl w:ilvl="0" w:tplc="5B98533E">
      <w:start w:val="1"/>
      <w:numFmt w:val="decimal"/>
      <w:lvlText w:val="(%1)"/>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38C214">
      <w:start w:val="1"/>
      <w:numFmt w:val="lowerLetter"/>
      <w:lvlText w:val="(%2)"/>
      <w:lvlJc w:val="left"/>
      <w:pPr>
        <w:ind w:left="2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DCB648">
      <w:start w:val="1"/>
      <w:numFmt w:val="lowerRoman"/>
      <w:lvlText w:val="%3"/>
      <w:lvlJc w:val="left"/>
      <w:pPr>
        <w:ind w:left="1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1CFCFC">
      <w:start w:val="1"/>
      <w:numFmt w:val="decimal"/>
      <w:lvlText w:val="%4"/>
      <w:lvlJc w:val="left"/>
      <w:pPr>
        <w:ind w:left="2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48DDC">
      <w:start w:val="1"/>
      <w:numFmt w:val="lowerLetter"/>
      <w:lvlText w:val="%5"/>
      <w:lvlJc w:val="left"/>
      <w:pPr>
        <w:ind w:left="3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90055A">
      <w:start w:val="1"/>
      <w:numFmt w:val="lowerRoman"/>
      <w:lvlText w:val="%6"/>
      <w:lvlJc w:val="left"/>
      <w:pPr>
        <w:ind w:left="3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8E2E46">
      <w:start w:val="1"/>
      <w:numFmt w:val="decimal"/>
      <w:lvlText w:val="%7"/>
      <w:lvlJc w:val="left"/>
      <w:pPr>
        <w:ind w:left="4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040072">
      <w:start w:val="1"/>
      <w:numFmt w:val="lowerLetter"/>
      <w:lvlText w:val="%8"/>
      <w:lvlJc w:val="left"/>
      <w:pPr>
        <w:ind w:left="5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00C880">
      <w:start w:val="1"/>
      <w:numFmt w:val="lowerRoman"/>
      <w:lvlText w:val="%9"/>
      <w:lvlJc w:val="left"/>
      <w:pPr>
        <w:ind w:left="6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680151F"/>
    <w:multiLevelType w:val="hybridMultilevel"/>
    <w:tmpl w:val="D33C2F5C"/>
    <w:lvl w:ilvl="0" w:tplc="70E20D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B01FC5"/>
    <w:multiLevelType w:val="hybridMultilevel"/>
    <w:tmpl w:val="0C3A60F2"/>
    <w:lvl w:ilvl="0" w:tplc="847869F2">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AF1FA">
      <w:start w:val="1"/>
      <w:numFmt w:val="lowerLetter"/>
      <w:lvlText w:val="(%2)"/>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4CF07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7E451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EB1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6CD31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32D23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432C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C93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E852C6F"/>
    <w:multiLevelType w:val="hybridMultilevel"/>
    <w:tmpl w:val="12A2177E"/>
    <w:lvl w:ilvl="0" w:tplc="C2B2AA40">
      <w:start w:val="1"/>
      <w:numFmt w:val="lowerLetter"/>
      <w:lvlText w:val="(%1)"/>
      <w:lvlJc w:val="left"/>
      <w:pPr>
        <w:ind w:left="1435" w:hanging="360"/>
      </w:pPr>
      <w:rPr>
        <w:rFonts w:ascii="Times New Roman" w:eastAsia="Times New Roman" w:hAnsi="Times New Roman" w:cs="Times New Roman"/>
      </w:rPr>
    </w:lvl>
    <w:lvl w:ilvl="1" w:tplc="08090019" w:tentative="1">
      <w:start w:val="1"/>
      <w:numFmt w:val="lowerLetter"/>
      <w:lvlText w:val="%2."/>
      <w:lvlJc w:val="left"/>
      <w:pPr>
        <w:ind w:left="2155" w:hanging="360"/>
      </w:pPr>
    </w:lvl>
    <w:lvl w:ilvl="2" w:tplc="0809001B" w:tentative="1">
      <w:start w:val="1"/>
      <w:numFmt w:val="lowerRoman"/>
      <w:lvlText w:val="%3."/>
      <w:lvlJc w:val="right"/>
      <w:pPr>
        <w:ind w:left="2875" w:hanging="180"/>
      </w:pPr>
    </w:lvl>
    <w:lvl w:ilvl="3" w:tplc="0809000F" w:tentative="1">
      <w:start w:val="1"/>
      <w:numFmt w:val="decimal"/>
      <w:lvlText w:val="%4."/>
      <w:lvlJc w:val="left"/>
      <w:pPr>
        <w:ind w:left="3595" w:hanging="360"/>
      </w:pPr>
    </w:lvl>
    <w:lvl w:ilvl="4" w:tplc="08090019" w:tentative="1">
      <w:start w:val="1"/>
      <w:numFmt w:val="lowerLetter"/>
      <w:lvlText w:val="%5."/>
      <w:lvlJc w:val="left"/>
      <w:pPr>
        <w:ind w:left="4315" w:hanging="360"/>
      </w:pPr>
    </w:lvl>
    <w:lvl w:ilvl="5" w:tplc="0809001B" w:tentative="1">
      <w:start w:val="1"/>
      <w:numFmt w:val="lowerRoman"/>
      <w:lvlText w:val="%6."/>
      <w:lvlJc w:val="right"/>
      <w:pPr>
        <w:ind w:left="5035" w:hanging="180"/>
      </w:pPr>
    </w:lvl>
    <w:lvl w:ilvl="6" w:tplc="0809000F" w:tentative="1">
      <w:start w:val="1"/>
      <w:numFmt w:val="decimal"/>
      <w:lvlText w:val="%7."/>
      <w:lvlJc w:val="left"/>
      <w:pPr>
        <w:ind w:left="5755" w:hanging="360"/>
      </w:pPr>
    </w:lvl>
    <w:lvl w:ilvl="7" w:tplc="08090019" w:tentative="1">
      <w:start w:val="1"/>
      <w:numFmt w:val="lowerLetter"/>
      <w:lvlText w:val="%8."/>
      <w:lvlJc w:val="left"/>
      <w:pPr>
        <w:ind w:left="6475" w:hanging="360"/>
      </w:pPr>
    </w:lvl>
    <w:lvl w:ilvl="8" w:tplc="0809001B" w:tentative="1">
      <w:start w:val="1"/>
      <w:numFmt w:val="lowerRoman"/>
      <w:lvlText w:val="%9."/>
      <w:lvlJc w:val="right"/>
      <w:pPr>
        <w:ind w:left="7195" w:hanging="180"/>
      </w:pPr>
    </w:lvl>
  </w:abstractNum>
  <w:abstractNum w:abstractNumId="27" w15:restartNumberingAfterBreak="0">
    <w:nsid w:val="7166229F"/>
    <w:multiLevelType w:val="hybridMultilevel"/>
    <w:tmpl w:val="C1AA3B6A"/>
    <w:lvl w:ilvl="0" w:tplc="AC7A61E4">
      <w:start w:val="1"/>
      <w:numFmt w:val="decimal"/>
      <w:lvlText w:val="(%1)"/>
      <w:lvlJc w:val="left"/>
      <w:pPr>
        <w:ind w:left="1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240E2C">
      <w:start w:val="1"/>
      <w:numFmt w:val="lowerLetter"/>
      <w:lvlText w:val="(%2)"/>
      <w:lvlJc w:val="left"/>
      <w:pPr>
        <w:ind w:left="1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839BC">
      <w:start w:val="1"/>
      <w:numFmt w:val="lowerRoman"/>
      <w:lvlText w:val="%3"/>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04864A">
      <w:start w:val="1"/>
      <w:numFmt w:val="decimal"/>
      <w:lvlText w:val="%4"/>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E88FE2">
      <w:start w:val="1"/>
      <w:numFmt w:val="lowerLetter"/>
      <w:lvlText w:val="%5"/>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5EAF5C">
      <w:start w:val="1"/>
      <w:numFmt w:val="lowerRoman"/>
      <w:lvlText w:val="%6"/>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2AE432">
      <w:start w:val="1"/>
      <w:numFmt w:val="decimal"/>
      <w:lvlText w:val="%7"/>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462DEC">
      <w:start w:val="1"/>
      <w:numFmt w:val="lowerLetter"/>
      <w:lvlText w:val="%8"/>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46691E">
      <w:start w:val="1"/>
      <w:numFmt w:val="lowerRoman"/>
      <w:lvlText w:val="%9"/>
      <w:lvlJc w:val="left"/>
      <w:pPr>
        <w:ind w:left="6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3880433"/>
    <w:multiLevelType w:val="hybridMultilevel"/>
    <w:tmpl w:val="724C6100"/>
    <w:lvl w:ilvl="0" w:tplc="70E20DE0">
      <w:start w:val="1"/>
      <w:numFmt w:val="lowerLetter"/>
      <w:lvlText w:val="(%1)"/>
      <w:lvlJc w:val="left"/>
      <w:pPr>
        <w:ind w:left="2770" w:hanging="360"/>
      </w:pPr>
      <w:rPr>
        <w:rFonts w:hint="default"/>
      </w:rPr>
    </w:lvl>
    <w:lvl w:ilvl="1" w:tplc="08090019">
      <w:start w:val="1"/>
      <w:numFmt w:val="lowerLetter"/>
      <w:lvlText w:val="%2."/>
      <w:lvlJc w:val="left"/>
      <w:pPr>
        <w:ind w:left="3490" w:hanging="360"/>
      </w:pPr>
    </w:lvl>
    <w:lvl w:ilvl="2" w:tplc="0809001B">
      <w:start w:val="1"/>
      <w:numFmt w:val="lowerRoman"/>
      <w:lvlText w:val="%3."/>
      <w:lvlJc w:val="right"/>
      <w:pPr>
        <w:ind w:left="4210" w:hanging="180"/>
      </w:pPr>
    </w:lvl>
    <w:lvl w:ilvl="3" w:tplc="0809000F">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29" w15:restartNumberingAfterBreak="0">
    <w:nsid w:val="738A39CA"/>
    <w:multiLevelType w:val="hybridMultilevel"/>
    <w:tmpl w:val="8C9A6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817CEF"/>
    <w:multiLevelType w:val="hybridMultilevel"/>
    <w:tmpl w:val="48AEAF38"/>
    <w:lvl w:ilvl="0" w:tplc="645C80D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FC177E">
      <w:start w:val="1"/>
      <w:numFmt w:val="lowerLetter"/>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4C5476">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38F81E">
      <w:start w:val="1"/>
      <w:numFmt w:val="upperLetter"/>
      <w:lvlText w:val="(%4)"/>
      <w:lvlJc w:val="left"/>
      <w:pPr>
        <w:ind w:left="2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76EA1E">
      <w:start w:val="1"/>
      <w:numFmt w:val="lowerLetter"/>
      <w:lvlText w:val="%5"/>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F4AF7C">
      <w:start w:val="1"/>
      <w:numFmt w:val="lowerRoman"/>
      <w:lvlText w:val="%6"/>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8266DE">
      <w:start w:val="1"/>
      <w:numFmt w:val="decimal"/>
      <w:lvlText w:val="%7"/>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12761E">
      <w:start w:val="1"/>
      <w:numFmt w:val="lowerLetter"/>
      <w:lvlText w:val="%8"/>
      <w:lvlJc w:val="left"/>
      <w:pPr>
        <w:ind w:left="4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80CDAE">
      <w:start w:val="1"/>
      <w:numFmt w:val="lowerRoman"/>
      <w:lvlText w:val="%9"/>
      <w:lvlJc w:val="left"/>
      <w:pPr>
        <w:ind w:left="5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8756B64"/>
    <w:multiLevelType w:val="hybridMultilevel"/>
    <w:tmpl w:val="748C7CD6"/>
    <w:lvl w:ilvl="0" w:tplc="AF3E8C94">
      <w:start w:val="1"/>
      <w:numFmt w:val="decimal"/>
      <w:lvlText w:val="(%1)"/>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8AC8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88C2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DE3AB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A0CE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F96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5A270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0C32E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E4DE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D586D05"/>
    <w:multiLevelType w:val="hybridMultilevel"/>
    <w:tmpl w:val="D9A8C31A"/>
    <w:lvl w:ilvl="0" w:tplc="37C03C82">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618686291">
    <w:abstractNumId w:val="10"/>
  </w:num>
  <w:num w:numId="2" w16cid:durableId="2042388739">
    <w:abstractNumId w:val="30"/>
  </w:num>
  <w:num w:numId="3" w16cid:durableId="1305356905">
    <w:abstractNumId w:val="9"/>
  </w:num>
  <w:num w:numId="4" w16cid:durableId="1267155875">
    <w:abstractNumId w:val="13"/>
  </w:num>
  <w:num w:numId="5" w16cid:durableId="1726832922">
    <w:abstractNumId w:val="19"/>
  </w:num>
  <w:num w:numId="6" w16cid:durableId="1010792378">
    <w:abstractNumId w:val="15"/>
  </w:num>
  <w:num w:numId="7" w16cid:durableId="1302880792">
    <w:abstractNumId w:val="5"/>
  </w:num>
  <w:num w:numId="8" w16cid:durableId="1181050351">
    <w:abstractNumId w:val="27"/>
  </w:num>
  <w:num w:numId="9" w16cid:durableId="1670521081">
    <w:abstractNumId w:val="12"/>
  </w:num>
  <w:num w:numId="10" w16cid:durableId="1345597954">
    <w:abstractNumId w:val="21"/>
  </w:num>
  <w:num w:numId="11" w16cid:durableId="1744832461">
    <w:abstractNumId w:val="20"/>
  </w:num>
  <w:num w:numId="12" w16cid:durableId="1218123924">
    <w:abstractNumId w:val="11"/>
  </w:num>
  <w:num w:numId="13" w16cid:durableId="694161147">
    <w:abstractNumId w:val="0"/>
  </w:num>
  <w:num w:numId="14" w16cid:durableId="1346441747">
    <w:abstractNumId w:val="26"/>
  </w:num>
  <w:num w:numId="15" w16cid:durableId="1807118296">
    <w:abstractNumId w:val="29"/>
  </w:num>
  <w:num w:numId="16" w16cid:durableId="1787235791">
    <w:abstractNumId w:val="4"/>
  </w:num>
  <w:num w:numId="17" w16cid:durableId="2140955052">
    <w:abstractNumId w:val="23"/>
  </w:num>
  <w:num w:numId="18" w16cid:durableId="1886870714">
    <w:abstractNumId w:val="17"/>
  </w:num>
  <w:num w:numId="19" w16cid:durableId="1540893906">
    <w:abstractNumId w:val="14"/>
  </w:num>
  <w:num w:numId="20" w16cid:durableId="158008712">
    <w:abstractNumId w:val="2"/>
  </w:num>
  <w:num w:numId="21" w16cid:durableId="915699569">
    <w:abstractNumId w:val="28"/>
  </w:num>
  <w:num w:numId="22" w16cid:durableId="723910861">
    <w:abstractNumId w:val="3"/>
  </w:num>
  <w:num w:numId="23" w16cid:durableId="1989552399">
    <w:abstractNumId w:val="18"/>
  </w:num>
  <w:num w:numId="24" w16cid:durableId="1491867011">
    <w:abstractNumId w:val="7"/>
  </w:num>
  <w:num w:numId="25" w16cid:durableId="1778022987">
    <w:abstractNumId w:val="8"/>
  </w:num>
  <w:num w:numId="26" w16cid:durableId="473987394">
    <w:abstractNumId w:val="31"/>
  </w:num>
  <w:num w:numId="27" w16cid:durableId="252126914">
    <w:abstractNumId w:val="32"/>
  </w:num>
  <w:num w:numId="28" w16cid:durableId="344943499">
    <w:abstractNumId w:val="16"/>
  </w:num>
  <w:num w:numId="29" w16cid:durableId="385569683">
    <w:abstractNumId w:val="24"/>
  </w:num>
  <w:num w:numId="30" w16cid:durableId="837353722">
    <w:abstractNumId w:val="25"/>
  </w:num>
  <w:num w:numId="31" w16cid:durableId="1991445480">
    <w:abstractNumId w:val="6"/>
  </w:num>
  <w:num w:numId="32" w16cid:durableId="702947209">
    <w:abstractNumId w:val="1"/>
  </w:num>
  <w:num w:numId="33" w16cid:durableId="713891391">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62"/>
    <w:rsid w:val="00001E30"/>
    <w:rsid w:val="00001FD0"/>
    <w:rsid w:val="00004492"/>
    <w:rsid w:val="00004FA4"/>
    <w:rsid w:val="000064C4"/>
    <w:rsid w:val="00006681"/>
    <w:rsid w:val="00012A4D"/>
    <w:rsid w:val="000156DD"/>
    <w:rsid w:val="00015ABE"/>
    <w:rsid w:val="00016A33"/>
    <w:rsid w:val="00020F3C"/>
    <w:rsid w:val="000210E9"/>
    <w:rsid w:val="0002276F"/>
    <w:rsid w:val="00022AE9"/>
    <w:rsid w:val="00024E8C"/>
    <w:rsid w:val="00027030"/>
    <w:rsid w:val="00027D70"/>
    <w:rsid w:val="00030A4B"/>
    <w:rsid w:val="000325E0"/>
    <w:rsid w:val="00033864"/>
    <w:rsid w:val="0003435A"/>
    <w:rsid w:val="000359EE"/>
    <w:rsid w:val="00037052"/>
    <w:rsid w:val="00041216"/>
    <w:rsid w:val="000456FE"/>
    <w:rsid w:val="000472EC"/>
    <w:rsid w:val="000536F2"/>
    <w:rsid w:val="00054037"/>
    <w:rsid w:val="00056CD8"/>
    <w:rsid w:val="0006048B"/>
    <w:rsid w:val="000614AC"/>
    <w:rsid w:val="000645C9"/>
    <w:rsid w:val="00065394"/>
    <w:rsid w:val="0006539A"/>
    <w:rsid w:val="0006573C"/>
    <w:rsid w:val="000747F6"/>
    <w:rsid w:val="00074EAD"/>
    <w:rsid w:val="0008135C"/>
    <w:rsid w:val="00085D9C"/>
    <w:rsid w:val="000917EC"/>
    <w:rsid w:val="00092045"/>
    <w:rsid w:val="00095E77"/>
    <w:rsid w:val="000A0C5F"/>
    <w:rsid w:val="000A0E0D"/>
    <w:rsid w:val="000A0FA4"/>
    <w:rsid w:val="000A10AF"/>
    <w:rsid w:val="000A149E"/>
    <w:rsid w:val="000A1628"/>
    <w:rsid w:val="000A23E2"/>
    <w:rsid w:val="000A67C5"/>
    <w:rsid w:val="000B072A"/>
    <w:rsid w:val="000B0E70"/>
    <w:rsid w:val="000B37FE"/>
    <w:rsid w:val="000B3A3A"/>
    <w:rsid w:val="000B4DB6"/>
    <w:rsid w:val="000B5E63"/>
    <w:rsid w:val="000B77CD"/>
    <w:rsid w:val="000C5BF5"/>
    <w:rsid w:val="000D0AA0"/>
    <w:rsid w:val="000D111D"/>
    <w:rsid w:val="000D6F30"/>
    <w:rsid w:val="000E007D"/>
    <w:rsid w:val="000E1764"/>
    <w:rsid w:val="000E2937"/>
    <w:rsid w:val="000E2B40"/>
    <w:rsid w:val="000E6FA0"/>
    <w:rsid w:val="000F1A56"/>
    <w:rsid w:val="000F4879"/>
    <w:rsid w:val="000F6081"/>
    <w:rsid w:val="000F68FC"/>
    <w:rsid w:val="001008BB"/>
    <w:rsid w:val="00100DC2"/>
    <w:rsid w:val="001015E5"/>
    <w:rsid w:val="001015F8"/>
    <w:rsid w:val="001019A4"/>
    <w:rsid w:val="00102954"/>
    <w:rsid w:val="00105B61"/>
    <w:rsid w:val="00107698"/>
    <w:rsid w:val="00107A63"/>
    <w:rsid w:val="00107C22"/>
    <w:rsid w:val="00110A48"/>
    <w:rsid w:val="00110F34"/>
    <w:rsid w:val="00112D87"/>
    <w:rsid w:val="00112E21"/>
    <w:rsid w:val="00113F0F"/>
    <w:rsid w:val="00114741"/>
    <w:rsid w:val="0011478C"/>
    <w:rsid w:val="00121812"/>
    <w:rsid w:val="00124A1D"/>
    <w:rsid w:val="00132A6D"/>
    <w:rsid w:val="00133ED3"/>
    <w:rsid w:val="0013582B"/>
    <w:rsid w:val="001359D6"/>
    <w:rsid w:val="00136EEF"/>
    <w:rsid w:val="00137283"/>
    <w:rsid w:val="001404E4"/>
    <w:rsid w:val="00140F94"/>
    <w:rsid w:val="0014230B"/>
    <w:rsid w:val="00151748"/>
    <w:rsid w:val="001544C6"/>
    <w:rsid w:val="00154F08"/>
    <w:rsid w:val="001551E0"/>
    <w:rsid w:val="00156105"/>
    <w:rsid w:val="001600DF"/>
    <w:rsid w:val="00160B6B"/>
    <w:rsid w:val="00161C87"/>
    <w:rsid w:val="0016485C"/>
    <w:rsid w:val="00165A27"/>
    <w:rsid w:val="001702F7"/>
    <w:rsid w:val="001718EA"/>
    <w:rsid w:val="00172D18"/>
    <w:rsid w:val="00173915"/>
    <w:rsid w:val="00174115"/>
    <w:rsid w:val="00175424"/>
    <w:rsid w:val="001760EA"/>
    <w:rsid w:val="001763EC"/>
    <w:rsid w:val="0019136E"/>
    <w:rsid w:val="00191E86"/>
    <w:rsid w:val="001941A5"/>
    <w:rsid w:val="00194D3B"/>
    <w:rsid w:val="001951AE"/>
    <w:rsid w:val="00196E16"/>
    <w:rsid w:val="001A1D25"/>
    <w:rsid w:val="001A2B8F"/>
    <w:rsid w:val="001B14A2"/>
    <w:rsid w:val="001B14D5"/>
    <w:rsid w:val="001B1EB7"/>
    <w:rsid w:val="001B4842"/>
    <w:rsid w:val="001B7F60"/>
    <w:rsid w:val="001C1D2F"/>
    <w:rsid w:val="001C1F69"/>
    <w:rsid w:val="001C349F"/>
    <w:rsid w:val="001C3FE7"/>
    <w:rsid w:val="001C4A64"/>
    <w:rsid w:val="001C5DE2"/>
    <w:rsid w:val="001C6953"/>
    <w:rsid w:val="001D0569"/>
    <w:rsid w:val="001D0B57"/>
    <w:rsid w:val="001D0CEE"/>
    <w:rsid w:val="001D1175"/>
    <w:rsid w:val="001D5905"/>
    <w:rsid w:val="001E062B"/>
    <w:rsid w:val="001E112F"/>
    <w:rsid w:val="001E218B"/>
    <w:rsid w:val="001E3EEF"/>
    <w:rsid w:val="001F0A1D"/>
    <w:rsid w:val="00200950"/>
    <w:rsid w:val="00202C81"/>
    <w:rsid w:val="00213D40"/>
    <w:rsid w:val="00215340"/>
    <w:rsid w:val="002163A0"/>
    <w:rsid w:val="00216ABA"/>
    <w:rsid w:val="00222BCA"/>
    <w:rsid w:val="00225069"/>
    <w:rsid w:val="0022536E"/>
    <w:rsid w:val="0022669A"/>
    <w:rsid w:val="00232685"/>
    <w:rsid w:val="00233FAB"/>
    <w:rsid w:val="002350EF"/>
    <w:rsid w:val="00236B81"/>
    <w:rsid w:val="002401F7"/>
    <w:rsid w:val="00240659"/>
    <w:rsid w:val="00241D47"/>
    <w:rsid w:val="0024238F"/>
    <w:rsid w:val="0024327A"/>
    <w:rsid w:val="002437FB"/>
    <w:rsid w:val="00243ABB"/>
    <w:rsid w:val="00244CE3"/>
    <w:rsid w:val="00250AD1"/>
    <w:rsid w:val="00251624"/>
    <w:rsid w:val="0025189A"/>
    <w:rsid w:val="00251AE7"/>
    <w:rsid w:val="0025245E"/>
    <w:rsid w:val="00255445"/>
    <w:rsid w:val="00256A13"/>
    <w:rsid w:val="00256EC3"/>
    <w:rsid w:val="00263FD9"/>
    <w:rsid w:val="00264592"/>
    <w:rsid w:val="00264EBD"/>
    <w:rsid w:val="00265B3F"/>
    <w:rsid w:val="00266910"/>
    <w:rsid w:val="00266C91"/>
    <w:rsid w:val="002754FF"/>
    <w:rsid w:val="0028049C"/>
    <w:rsid w:val="002871A4"/>
    <w:rsid w:val="00290353"/>
    <w:rsid w:val="0029133B"/>
    <w:rsid w:val="00292068"/>
    <w:rsid w:val="00292EC6"/>
    <w:rsid w:val="002949F2"/>
    <w:rsid w:val="002A1357"/>
    <w:rsid w:val="002A1B2B"/>
    <w:rsid w:val="002A3CFB"/>
    <w:rsid w:val="002A5DFC"/>
    <w:rsid w:val="002A6298"/>
    <w:rsid w:val="002A7BDD"/>
    <w:rsid w:val="002B01C1"/>
    <w:rsid w:val="002B5D1F"/>
    <w:rsid w:val="002B6CE0"/>
    <w:rsid w:val="002B6D4F"/>
    <w:rsid w:val="002C3741"/>
    <w:rsid w:val="002C4387"/>
    <w:rsid w:val="002C7BBF"/>
    <w:rsid w:val="002D02A2"/>
    <w:rsid w:val="002D0489"/>
    <w:rsid w:val="002D3373"/>
    <w:rsid w:val="002D472E"/>
    <w:rsid w:val="002D731B"/>
    <w:rsid w:val="002D7ACA"/>
    <w:rsid w:val="002E013E"/>
    <w:rsid w:val="002E421D"/>
    <w:rsid w:val="002E5763"/>
    <w:rsid w:val="002F029D"/>
    <w:rsid w:val="002F1407"/>
    <w:rsid w:val="0030117E"/>
    <w:rsid w:val="0030272A"/>
    <w:rsid w:val="00304ED9"/>
    <w:rsid w:val="003067A6"/>
    <w:rsid w:val="00311389"/>
    <w:rsid w:val="00311749"/>
    <w:rsid w:val="0031290E"/>
    <w:rsid w:val="003144A8"/>
    <w:rsid w:val="00314CC6"/>
    <w:rsid w:val="0031604E"/>
    <w:rsid w:val="00316BB5"/>
    <w:rsid w:val="003202D8"/>
    <w:rsid w:val="00325328"/>
    <w:rsid w:val="00326927"/>
    <w:rsid w:val="00333351"/>
    <w:rsid w:val="003334B9"/>
    <w:rsid w:val="00335157"/>
    <w:rsid w:val="00337EF5"/>
    <w:rsid w:val="00340BC1"/>
    <w:rsid w:val="00343301"/>
    <w:rsid w:val="00344389"/>
    <w:rsid w:val="00344574"/>
    <w:rsid w:val="00347C3D"/>
    <w:rsid w:val="003501FB"/>
    <w:rsid w:val="00350CA9"/>
    <w:rsid w:val="00354315"/>
    <w:rsid w:val="00354854"/>
    <w:rsid w:val="00354A5E"/>
    <w:rsid w:val="0035604C"/>
    <w:rsid w:val="0035791F"/>
    <w:rsid w:val="00362284"/>
    <w:rsid w:val="00366848"/>
    <w:rsid w:val="00366D5F"/>
    <w:rsid w:val="00370B15"/>
    <w:rsid w:val="003725B8"/>
    <w:rsid w:val="00374C3A"/>
    <w:rsid w:val="00376C48"/>
    <w:rsid w:val="00377B89"/>
    <w:rsid w:val="0038389D"/>
    <w:rsid w:val="003839BA"/>
    <w:rsid w:val="00384487"/>
    <w:rsid w:val="0038616E"/>
    <w:rsid w:val="00391111"/>
    <w:rsid w:val="003911B9"/>
    <w:rsid w:val="00393D9A"/>
    <w:rsid w:val="0039417D"/>
    <w:rsid w:val="003A2B5B"/>
    <w:rsid w:val="003A2EBF"/>
    <w:rsid w:val="003A447B"/>
    <w:rsid w:val="003A4663"/>
    <w:rsid w:val="003A50C3"/>
    <w:rsid w:val="003A5437"/>
    <w:rsid w:val="003A5E20"/>
    <w:rsid w:val="003A7DE9"/>
    <w:rsid w:val="003B026A"/>
    <w:rsid w:val="003B1779"/>
    <w:rsid w:val="003B23A8"/>
    <w:rsid w:val="003B452A"/>
    <w:rsid w:val="003B5B8C"/>
    <w:rsid w:val="003C0129"/>
    <w:rsid w:val="003C4D5B"/>
    <w:rsid w:val="003C5B3A"/>
    <w:rsid w:val="003C6757"/>
    <w:rsid w:val="003C7E90"/>
    <w:rsid w:val="003D0AF8"/>
    <w:rsid w:val="003D1347"/>
    <w:rsid w:val="003D1C87"/>
    <w:rsid w:val="003D2492"/>
    <w:rsid w:val="003D250D"/>
    <w:rsid w:val="003E0589"/>
    <w:rsid w:val="003E249D"/>
    <w:rsid w:val="003E48B4"/>
    <w:rsid w:val="003E4F02"/>
    <w:rsid w:val="003E5FA5"/>
    <w:rsid w:val="003E7572"/>
    <w:rsid w:val="003F5F9C"/>
    <w:rsid w:val="00401DD2"/>
    <w:rsid w:val="00404DE3"/>
    <w:rsid w:val="00405783"/>
    <w:rsid w:val="0040589F"/>
    <w:rsid w:val="00405CB8"/>
    <w:rsid w:val="00406A4F"/>
    <w:rsid w:val="00406F7E"/>
    <w:rsid w:val="00407669"/>
    <w:rsid w:val="0041207C"/>
    <w:rsid w:val="00413B29"/>
    <w:rsid w:val="0041457B"/>
    <w:rsid w:val="00416261"/>
    <w:rsid w:val="00420DF1"/>
    <w:rsid w:val="00423B14"/>
    <w:rsid w:val="00427166"/>
    <w:rsid w:val="00430983"/>
    <w:rsid w:val="004311C2"/>
    <w:rsid w:val="00434D2A"/>
    <w:rsid w:val="00436EF1"/>
    <w:rsid w:val="00437EE6"/>
    <w:rsid w:val="00440012"/>
    <w:rsid w:val="0044005D"/>
    <w:rsid w:val="00441EF3"/>
    <w:rsid w:val="00443D22"/>
    <w:rsid w:val="00443FEE"/>
    <w:rsid w:val="00451869"/>
    <w:rsid w:val="00452570"/>
    <w:rsid w:val="004538E1"/>
    <w:rsid w:val="004552A7"/>
    <w:rsid w:val="004566BB"/>
    <w:rsid w:val="00466431"/>
    <w:rsid w:val="004671B6"/>
    <w:rsid w:val="00470970"/>
    <w:rsid w:val="004726C5"/>
    <w:rsid w:val="00475947"/>
    <w:rsid w:val="00476234"/>
    <w:rsid w:val="004762B1"/>
    <w:rsid w:val="004805FB"/>
    <w:rsid w:val="00483064"/>
    <w:rsid w:val="0048381E"/>
    <w:rsid w:val="00484345"/>
    <w:rsid w:val="00490A00"/>
    <w:rsid w:val="00490BB7"/>
    <w:rsid w:val="00492B3F"/>
    <w:rsid w:val="00493A68"/>
    <w:rsid w:val="00496C8F"/>
    <w:rsid w:val="004A10BE"/>
    <w:rsid w:val="004A1C36"/>
    <w:rsid w:val="004A3D89"/>
    <w:rsid w:val="004A443A"/>
    <w:rsid w:val="004A4D4D"/>
    <w:rsid w:val="004A529B"/>
    <w:rsid w:val="004A5BD5"/>
    <w:rsid w:val="004B0279"/>
    <w:rsid w:val="004B0B72"/>
    <w:rsid w:val="004B450A"/>
    <w:rsid w:val="004B7F09"/>
    <w:rsid w:val="004C143D"/>
    <w:rsid w:val="004C18A1"/>
    <w:rsid w:val="004C324F"/>
    <w:rsid w:val="004C33F6"/>
    <w:rsid w:val="004C3EE2"/>
    <w:rsid w:val="004C653C"/>
    <w:rsid w:val="004C7B5B"/>
    <w:rsid w:val="004D4CF2"/>
    <w:rsid w:val="004D4DA8"/>
    <w:rsid w:val="004D6ECE"/>
    <w:rsid w:val="004E00F0"/>
    <w:rsid w:val="004E1405"/>
    <w:rsid w:val="004E3B62"/>
    <w:rsid w:val="004E482C"/>
    <w:rsid w:val="004F1879"/>
    <w:rsid w:val="004F4B35"/>
    <w:rsid w:val="004F772E"/>
    <w:rsid w:val="0050037B"/>
    <w:rsid w:val="005006F3"/>
    <w:rsid w:val="00502B1F"/>
    <w:rsid w:val="00505012"/>
    <w:rsid w:val="005114A8"/>
    <w:rsid w:val="005116F1"/>
    <w:rsid w:val="00512335"/>
    <w:rsid w:val="005145ED"/>
    <w:rsid w:val="005165F8"/>
    <w:rsid w:val="00516B98"/>
    <w:rsid w:val="005171A4"/>
    <w:rsid w:val="00524431"/>
    <w:rsid w:val="00524BDA"/>
    <w:rsid w:val="00525672"/>
    <w:rsid w:val="00530C14"/>
    <w:rsid w:val="00531FF1"/>
    <w:rsid w:val="00532996"/>
    <w:rsid w:val="00532ECF"/>
    <w:rsid w:val="005351E5"/>
    <w:rsid w:val="005359CA"/>
    <w:rsid w:val="00536ED4"/>
    <w:rsid w:val="00540D79"/>
    <w:rsid w:val="005425F5"/>
    <w:rsid w:val="00542FD6"/>
    <w:rsid w:val="00547734"/>
    <w:rsid w:val="00550F13"/>
    <w:rsid w:val="00552838"/>
    <w:rsid w:val="00560221"/>
    <w:rsid w:val="00560CE9"/>
    <w:rsid w:val="00564892"/>
    <w:rsid w:val="00566C4B"/>
    <w:rsid w:val="00571B45"/>
    <w:rsid w:val="00572CCD"/>
    <w:rsid w:val="00572D18"/>
    <w:rsid w:val="00573D66"/>
    <w:rsid w:val="00575EBD"/>
    <w:rsid w:val="005765E1"/>
    <w:rsid w:val="00577A71"/>
    <w:rsid w:val="0058060D"/>
    <w:rsid w:val="00581597"/>
    <w:rsid w:val="005871D8"/>
    <w:rsid w:val="00590C2A"/>
    <w:rsid w:val="00591124"/>
    <w:rsid w:val="005937D3"/>
    <w:rsid w:val="005941F5"/>
    <w:rsid w:val="00594896"/>
    <w:rsid w:val="0059724A"/>
    <w:rsid w:val="0059774C"/>
    <w:rsid w:val="005A00F4"/>
    <w:rsid w:val="005A0830"/>
    <w:rsid w:val="005A2E75"/>
    <w:rsid w:val="005A2ED8"/>
    <w:rsid w:val="005A6073"/>
    <w:rsid w:val="005A77A3"/>
    <w:rsid w:val="005B2CA8"/>
    <w:rsid w:val="005B3EB8"/>
    <w:rsid w:val="005B6264"/>
    <w:rsid w:val="005C0CE9"/>
    <w:rsid w:val="005C3D96"/>
    <w:rsid w:val="005C668A"/>
    <w:rsid w:val="005C729D"/>
    <w:rsid w:val="005C76D7"/>
    <w:rsid w:val="005D1477"/>
    <w:rsid w:val="005E2A8E"/>
    <w:rsid w:val="005E47CA"/>
    <w:rsid w:val="005E4FCF"/>
    <w:rsid w:val="005E5221"/>
    <w:rsid w:val="005E597B"/>
    <w:rsid w:val="005F3FC4"/>
    <w:rsid w:val="005F52DD"/>
    <w:rsid w:val="005F5D42"/>
    <w:rsid w:val="005F7FCE"/>
    <w:rsid w:val="006033C1"/>
    <w:rsid w:val="00610A81"/>
    <w:rsid w:val="006128F7"/>
    <w:rsid w:val="0061385B"/>
    <w:rsid w:val="006153B3"/>
    <w:rsid w:val="00616772"/>
    <w:rsid w:val="00621D92"/>
    <w:rsid w:val="00623A88"/>
    <w:rsid w:val="0062626D"/>
    <w:rsid w:val="00627DB8"/>
    <w:rsid w:val="00630328"/>
    <w:rsid w:val="006310FE"/>
    <w:rsid w:val="006344D4"/>
    <w:rsid w:val="006346AB"/>
    <w:rsid w:val="00634CFB"/>
    <w:rsid w:val="006355BC"/>
    <w:rsid w:val="00640379"/>
    <w:rsid w:val="00644183"/>
    <w:rsid w:val="00645C64"/>
    <w:rsid w:val="00651F24"/>
    <w:rsid w:val="00653710"/>
    <w:rsid w:val="00653790"/>
    <w:rsid w:val="00656BEE"/>
    <w:rsid w:val="00656EB6"/>
    <w:rsid w:val="00667AC5"/>
    <w:rsid w:val="00667EC7"/>
    <w:rsid w:val="0067067C"/>
    <w:rsid w:val="00672CA7"/>
    <w:rsid w:val="00672CD6"/>
    <w:rsid w:val="00673EE0"/>
    <w:rsid w:val="006746D5"/>
    <w:rsid w:val="006751CE"/>
    <w:rsid w:val="00675BCD"/>
    <w:rsid w:val="00676DCF"/>
    <w:rsid w:val="00682396"/>
    <w:rsid w:val="006829F1"/>
    <w:rsid w:val="00683AEF"/>
    <w:rsid w:val="006842CB"/>
    <w:rsid w:val="00687296"/>
    <w:rsid w:val="006911CD"/>
    <w:rsid w:val="00692481"/>
    <w:rsid w:val="00692AC1"/>
    <w:rsid w:val="00695D8C"/>
    <w:rsid w:val="00697C33"/>
    <w:rsid w:val="006A02C1"/>
    <w:rsid w:val="006B0179"/>
    <w:rsid w:val="006B0AA4"/>
    <w:rsid w:val="006B0BD0"/>
    <w:rsid w:val="006B1CAE"/>
    <w:rsid w:val="006B286D"/>
    <w:rsid w:val="006B542B"/>
    <w:rsid w:val="006B66C7"/>
    <w:rsid w:val="006C16C8"/>
    <w:rsid w:val="006C4478"/>
    <w:rsid w:val="006C4E30"/>
    <w:rsid w:val="006C7306"/>
    <w:rsid w:val="006D20B7"/>
    <w:rsid w:val="006D2A02"/>
    <w:rsid w:val="006D311B"/>
    <w:rsid w:val="006D60BF"/>
    <w:rsid w:val="006D7BA3"/>
    <w:rsid w:val="006E042E"/>
    <w:rsid w:val="006E0F85"/>
    <w:rsid w:val="006E284E"/>
    <w:rsid w:val="006E3258"/>
    <w:rsid w:val="006E36D7"/>
    <w:rsid w:val="006E4B3C"/>
    <w:rsid w:val="006E6D02"/>
    <w:rsid w:val="006F0A89"/>
    <w:rsid w:val="006F4F69"/>
    <w:rsid w:val="0070059F"/>
    <w:rsid w:val="00701528"/>
    <w:rsid w:val="007028DF"/>
    <w:rsid w:val="0070409B"/>
    <w:rsid w:val="00704479"/>
    <w:rsid w:val="00704C07"/>
    <w:rsid w:val="007053BF"/>
    <w:rsid w:val="00720584"/>
    <w:rsid w:val="00720C80"/>
    <w:rsid w:val="00724ED6"/>
    <w:rsid w:val="0072702C"/>
    <w:rsid w:val="00727B01"/>
    <w:rsid w:val="007319BD"/>
    <w:rsid w:val="00732E0D"/>
    <w:rsid w:val="00733760"/>
    <w:rsid w:val="0074186B"/>
    <w:rsid w:val="007424BD"/>
    <w:rsid w:val="007440D4"/>
    <w:rsid w:val="00745F92"/>
    <w:rsid w:val="0074604A"/>
    <w:rsid w:val="007461C9"/>
    <w:rsid w:val="007462C4"/>
    <w:rsid w:val="00746396"/>
    <w:rsid w:val="0074728F"/>
    <w:rsid w:val="007478C7"/>
    <w:rsid w:val="00751753"/>
    <w:rsid w:val="00751BAE"/>
    <w:rsid w:val="0075226F"/>
    <w:rsid w:val="00752325"/>
    <w:rsid w:val="007528A9"/>
    <w:rsid w:val="007532DF"/>
    <w:rsid w:val="00762C9D"/>
    <w:rsid w:val="00762E3B"/>
    <w:rsid w:val="0076386A"/>
    <w:rsid w:val="0076455C"/>
    <w:rsid w:val="00771B81"/>
    <w:rsid w:val="00771FCB"/>
    <w:rsid w:val="007736F3"/>
    <w:rsid w:val="00775F3B"/>
    <w:rsid w:val="0077602E"/>
    <w:rsid w:val="007768D9"/>
    <w:rsid w:val="00777238"/>
    <w:rsid w:val="00780C5C"/>
    <w:rsid w:val="007844DA"/>
    <w:rsid w:val="0079226F"/>
    <w:rsid w:val="007948A1"/>
    <w:rsid w:val="00795C7B"/>
    <w:rsid w:val="00797261"/>
    <w:rsid w:val="00797861"/>
    <w:rsid w:val="007A0CDE"/>
    <w:rsid w:val="007A182A"/>
    <w:rsid w:val="007A2D8A"/>
    <w:rsid w:val="007A3852"/>
    <w:rsid w:val="007B168E"/>
    <w:rsid w:val="007B1E5A"/>
    <w:rsid w:val="007B2A20"/>
    <w:rsid w:val="007B4305"/>
    <w:rsid w:val="007B5181"/>
    <w:rsid w:val="007B55A3"/>
    <w:rsid w:val="007B6A61"/>
    <w:rsid w:val="007B7938"/>
    <w:rsid w:val="007C4312"/>
    <w:rsid w:val="007C4B53"/>
    <w:rsid w:val="007C4C2D"/>
    <w:rsid w:val="007C5CFE"/>
    <w:rsid w:val="007C68AC"/>
    <w:rsid w:val="007C7A3F"/>
    <w:rsid w:val="007D2B6A"/>
    <w:rsid w:val="007D2D9A"/>
    <w:rsid w:val="007D373B"/>
    <w:rsid w:val="007D3873"/>
    <w:rsid w:val="007D61C5"/>
    <w:rsid w:val="007D74B5"/>
    <w:rsid w:val="007D7D99"/>
    <w:rsid w:val="007D7E9D"/>
    <w:rsid w:val="007E1CCC"/>
    <w:rsid w:val="007E2CD7"/>
    <w:rsid w:val="007E507A"/>
    <w:rsid w:val="007E617C"/>
    <w:rsid w:val="007E6905"/>
    <w:rsid w:val="007F002C"/>
    <w:rsid w:val="007F0344"/>
    <w:rsid w:val="007F0B39"/>
    <w:rsid w:val="007F0C99"/>
    <w:rsid w:val="007F1390"/>
    <w:rsid w:val="007F49B6"/>
    <w:rsid w:val="00804C0B"/>
    <w:rsid w:val="008071E8"/>
    <w:rsid w:val="00810111"/>
    <w:rsid w:val="00812E24"/>
    <w:rsid w:val="008136F1"/>
    <w:rsid w:val="00816020"/>
    <w:rsid w:val="008170B4"/>
    <w:rsid w:val="00817CB6"/>
    <w:rsid w:val="00821616"/>
    <w:rsid w:val="008315C4"/>
    <w:rsid w:val="00835A01"/>
    <w:rsid w:val="00835D2C"/>
    <w:rsid w:val="00836298"/>
    <w:rsid w:val="00837819"/>
    <w:rsid w:val="008409B2"/>
    <w:rsid w:val="0084122A"/>
    <w:rsid w:val="0084128F"/>
    <w:rsid w:val="0084338E"/>
    <w:rsid w:val="00845D5E"/>
    <w:rsid w:val="00852663"/>
    <w:rsid w:val="00852FC8"/>
    <w:rsid w:val="00854541"/>
    <w:rsid w:val="00856885"/>
    <w:rsid w:val="00861808"/>
    <w:rsid w:val="00862626"/>
    <w:rsid w:val="008655F8"/>
    <w:rsid w:val="00865D85"/>
    <w:rsid w:val="00866738"/>
    <w:rsid w:val="00871460"/>
    <w:rsid w:val="00871FA6"/>
    <w:rsid w:val="00872C59"/>
    <w:rsid w:val="00873F5E"/>
    <w:rsid w:val="00875432"/>
    <w:rsid w:val="008762B0"/>
    <w:rsid w:val="00877456"/>
    <w:rsid w:val="00877530"/>
    <w:rsid w:val="00877748"/>
    <w:rsid w:val="00881F4F"/>
    <w:rsid w:val="00885017"/>
    <w:rsid w:val="00891EB6"/>
    <w:rsid w:val="008951E2"/>
    <w:rsid w:val="008A0A05"/>
    <w:rsid w:val="008A3D00"/>
    <w:rsid w:val="008A46C9"/>
    <w:rsid w:val="008A5157"/>
    <w:rsid w:val="008A7853"/>
    <w:rsid w:val="008B0511"/>
    <w:rsid w:val="008B06C2"/>
    <w:rsid w:val="008B0816"/>
    <w:rsid w:val="008B0DE7"/>
    <w:rsid w:val="008B1008"/>
    <w:rsid w:val="008C1A10"/>
    <w:rsid w:val="008C28E5"/>
    <w:rsid w:val="008C65F2"/>
    <w:rsid w:val="008D09A7"/>
    <w:rsid w:val="008D5506"/>
    <w:rsid w:val="008E020C"/>
    <w:rsid w:val="008E07C1"/>
    <w:rsid w:val="008E11F9"/>
    <w:rsid w:val="008E3941"/>
    <w:rsid w:val="008E42AA"/>
    <w:rsid w:val="008E5A3B"/>
    <w:rsid w:val="008E7191"/>
    <w:rsid w:val="008F067C"/>
    <w:rsid w:val="008F1AE1"/>
    <w:rsid w:val="008F25D7"/>
    <w:rsid w:val="008F429A"/>
    <w:rsid w:val="008F4A27"/>
    <w:rsid w:val="008F56B8"/>
    <w:rsid w:val="008F5A2B"/>
    <w:rsid w:val="008F5FF8"/>
    <w:rsid w:val="008F61F7"/>
    <w:rsid w:val="00902352"/>
    <w:rsid w:val="00902F86"/>
    <w:rsid w:val="00904C9B"/>
    <w:rsid w:val="00910D5F"/>
    <w:rsid w:val="00911B74"/>
    <w:rsid w:val="0091269F"/>
    <w:rsid w:val="009128D1"/>
    <w:rsid w:val="009143FE"/>
    <w:rsid w:val="00915853"/>
    <w:rsid w:val="0091795B"/>
    <w:rsid w:val="009243B9"/>
    <w:rsid w:val="009244DE"/>
    <w:rsid w:val="009252DA"/>
    <w:rsid w:val="00926597"/>
    <w:rsid w:val="00927070"/>
    <w:rsid w:val="009302AE"/>
    <w:rsid w:val="009303B3"/>
    <w:rsid w:val="0093168B"/>
    <w:rsid w:val="00931FE9"/>
    <w:rsid w:val="00932607"/>
    <w:rsid w:val="00934BF7"/>
    <w:rsid w:val="00937073"/>
    <w:rsid w:val="00937618"/>
    <w:rsid w:val="009407C1"/>
    <w:rsid w:val="0094151C"/>
    <w:rsid w:val="0094263E"/>
    <w:rsid w:val="009426EE"/>
    <w:rsid w:val="00945832"/>
    <w:rsid w:val="00946AB5"/>
    <w:rsid w:val="00946E41"/>
    <w:rsid w:val="009517C0"/>
    <w:rsid w:val="00951CE2"/>
    <w:rsid w:val="00952CC4"/>
    <w:rsid w:val="00952DFB"/>
    <w:rsid w:val="00955B96"/>
    <w:rsid w:val="00956042"/>
    <w:rsid w:val="00960831"/>
    <w:rsid w:val="009629E2"/>
    <w:rsid w:val="00964E54"/>
    <w:rsid w:val="00965C9D"/>
    <w:rsid w:val="00967556"/>
    <w:rsid w:val="00972683"/>
    <w:rsid w:val="0097371E"/>
    <w:rsid w:val="00975D7E"/>
    <w:rsid w:val="00976D08"/>
    <w:rsid w:val="0098332E"/>
    <w:rsid w:val="00985778"/>
    <w:rsid w:val="00987BEB"/>
    <w:rsid w:val="0099016C"/>
    <w:rsid w:val="00994BEB"/>
    <w:rsid w:val="0099666B"/>
    <w:rsid w:val="009A013B"/>
    <w:rsid w:val="009A130F"/>
    <w:rsid w:val="009A4424"/>
    <w:rsid w:val="009A4699"/>
    <w:rsid w:val="009A5E89"/>
    <w:rsid w:val="009B0FDF"/>
    <w:rsid w:val="009B3FA1"/>
    <w:rsid w:val="009B7EC5"/>
    <w:rsid w:val="009C2550"/>
    <w:rsid w:val="009C55BE"/>
    <w:rsid w:val="009C5636"/>
    <w:rsid w:val="009C7676"/>
    <w:rsid w:val="009C78EE"/>
    <w:rsid w:val="009D1266"/>
    <w:rsid w:val="009D2A11"/>
    <w:rsid w:val="009D2A35"/>
    <w:rsid w:val="009D33A0"/>
    <w:rsid w:val="009D42EB"/>
    <w:rsid w:val="009D5740"/>
    <w:rsid w:val="009E1481"/>
    <w:rsid w:val="009E1CA3"/>
    <w:rsid w:val="009E2C3B"/>
    <w:rsid w:val="009E3E78"/>
    <w:rsid w:val="009E5B58"/>
    <w:rsid w:val="009F12E5"/>
    <w:rsid w:val="009F3864"/>
    <w:rsid w:val="009F7272"/>
    <w:rsid w:val="009F7C31"/>
    <w:rsid w:val="009F7E09"/>
    <w:rsid w:val="00A00A38"/>
    <w:rsid w:val="00A02F89"/>
    <w:rsid w:val="00A0361E"/>
    <w:rsid w:val="00A06986"/>
    <w:rsid w:val="00A07B96"/>
    <w:rsid w:val="00A136D4"/>
    <w:rsid w:val="00A1447F"/>
    <w:rsid w:val="00A148D3"/>
    <w:rsid w:val="00A23190"/>
    <w:rsid w:val="00A2553D"/>
    <w:rsid w:val="00A26660"/>
    <w:rsid w:val="00A31A29"/>
    <w:rsid w:val="00A34529"/>
    <w:rsid w:val="00A3753F"/>
    <w:rsid w:val="00A413A3"/>
    <w:rsid w:val="00A43120"/>
    <w:rsid w:val="00A431E1"/>
    <w:rsid w:val="00A43CA7"/>
    <w:rsid w:val="00A446B3"/>
    <w:rsid w:val="00A44E6A"/>
    <w:rsid w:val="00A451FB"/>
    <w:rsid w:val="00A471AA"/>
    <w:rsid w:val="00A50870"/>
    <w:rsid w:val="00A51851"/>
    <w:rsid w:val="00A53F69"/>
    <w:rsid w:val="00A54E53"/>
    <w:rsid w:val="00A55264"/>
    <w:rsid w:val="00A56D26"/>
    <w:rsid w:val="00A6045D"/>
    <w:rsid w:val="00A60FC3"/>
    <w:rsid w:val="00A71D84"/>
    <w:rsid w:val="00A731C1"/>
    <w:rsid w:val="00A7597B"/>
    <w:rsid w:val="00A81A60"/>
    <w:rsid w:val="00A847D8"/>
    <w:rsid w:val="00A9008A"/>
    <w:rsid w:val="00A95295"/>
    <w:rsid w:val="00A95AE1"/>
    <w:rsid w:val="00A9681A"/>
    <w:rsid w:val="00AA1791"/>
    <w:rsid w:val="00AA4B6C"/>
    <w:rsid w:val="00AB0F1A"/>
    <w:rsid w:val="00AC0436"/>
    <w:rsid w:val="00AC1510"/>
    <w:rsid w:val="00AC2DFC"/>
    <w:rsid w:val="00AC4A0D"/>
    <w:rsid w:val="00AD4E45"/>
    <w:rsid w:val="00AD5C64"/>
    <w:rsid w:val="00AD70BC"/>
    <w:rsid w:val="00AE0673"/>
    <w:rsid w:val="00AE3AD0"/>
    <w:rsid w:val="00AE4C6D"/>
    <w:rsid w:val="00AE6073"/>
    <w:rsid w:val="00AF415B"/>
    <w:rsid w:val="00AF4F1F"/>
    <w:rsid w:val="00B04B68"/>
    <w:rsid w:val="00B06481"/>
    <w:rsid w:val="00B114A5"/>
    <w:rsid w:val="00B11A40"/>
    <w:rsid w:val="00B11C3A"/>
    <w:rsid w:val="00B1225E"/>
    <w:rsid w:val="00B13C10"/>
    <w:rsid w:val="00B14148"/>
    <w:rsid w:val="00B15D49"/>
    <w:rsid w:val="00B165EB"/>
    <w:rsid w:val="00B17BBC"/>
    <w:rsid w:val="00B23059"/>
    <w:rsid w:val="00B230F9"/>
    <w:rsid w:val="00B2542E"/>
    <w:rsid w:val="00B27F81"/>
    <w:rsid w:val="00B32F86"/>
    <w:rsid w:val="00B33344"/>
    <w:rsid w:val="00B33643"/>
    <w:rsid w:val="00B3670D"/>
    <w:rsid w:val="00B401CB"/>
    <w:rsid w:val="00B40B8A"/>
    <w:rsid w:val="00B41613"/>
    <w:rsid w:val="00B42026"/>
    <w:rsid w:val="00B45E58"/>
    <w:rsid w:val="00B51380"/>
    <w:rsid w:val="00B51B8F"/>
    <w:rsid w:val="00B529D9"/>
    <w:rsid w:val="00B52B2B"/>
    <w:rsid w:val="00B52C34"/>
    <w:rsid w:val="00B543C4"/>
    <w:rsid w:val="00B554F3"/>
    <w:rsid w:val="00B5610D"/>
    <w:rsid w:val="00B566C4"/>
    <w:rsid w:val="00B57FD4"/>
    <w:rsid w:val="00B605E2"/>
    <w:rsid w:val="00B61D7C"/>
    <w:rsid w:val="00B626E0"/>
    <w:rsid w:val="00B62C4D"/>
    <w:rsid w:val="00B65232"/>
    <w:rsid w:val="00B66184"/>
    <w:rsid w:val="00B725DF"/>
    <w:rsid w:val="00B72974"/>
    <w:rsid w:val="00B742AC"/>
    <w:rsid w:val="00B75144"/>
    <w:rsid w:val="00B812F8"/>
    <w:rsid w:val="00B825CA"/>
    <w:rsid w:val="00B86D99"/>
    <w:rsid w:val="00B9071E"/>
    <w:rsid w:val="00B90FBE"/>
    <w:rsid w:val="00B94F69"/>
    <w:rsid w:val="00B95E93"/>
    <w:rsid w:val="00B96229"/>
    <w:rsid w:val="00B97857"/>
    <w:rsid w:val="00BA054E"/>
    <w:rsid w:val="00BA2BAF"/>
    <w:rsid w:val="00BA4B9B"/>
    <w:rsid w:val="00BA6AFD"/>
    <w:rsid w:val="00BB3386"/>
    <w:rsid w:val="00BB55CE"/>
    <w:rsid w:val="00BB76EA"/>
    <w:rsid w:val="00BC19CC"/>
    <w:rsid w:val="00BC2A76"/>
    <w:rsid w:val="00BC5195"/>
    <w:rsid w:val="00BC5552"/>
    <w:rsid w:val="00BD1791"/>
    <w:rsid w:val="00BD1BDE"/>
    <w:rsid w:val="00BD2336"/>
    <w:rsid w:val="00BD2E39"/>
    <w:rsid w:val="00BE1274"/>
    <w:rsid w:val="00BE4176"/>
    <w:rsid w:val="00BE4266"/>
    <w:rsid w:val="00BE5BC8"/>
    <w:rsid w:val="00BE650D"/>
    <w:rsid w:val="00BF244C"/>
    <w:rsid w:val="00BF365E"/>
    <w:rsid w:val="00BF4FCF"/>
    <w:rsid w:val="00BF5032"/>
    <w:rsid w:val="00BF66EA"/>
    <w:rsid w:val="00C01CF3"/>
    <w:rsid w:val="00C03A82"/>
    <w:rsid w:val="00C03E25"/>
    <w:rsid w:val="00C06AF7"/>
    <w:rsid w:val="00C10EF4"/>
    <w:rsid w:val="00C122F6"/>
    <w:rsid w:val="00C13B75"/>
    <w:rsid w:val="00C1432F"/>
    <w:rsid w:val="00C1441E"/>
    <w:rsid w:val="00C145A9"/>
    <w:rsid w:val="00C149C1"/>
    <w:rsid w:val="00C15C96"/>
    <w:rsid w:val="00C17529"/>
    <w:rsid w:val="00C20997"/>
    <w:rsid w:val="00C24C38"/>
    <w:rsid w:val="00C25590"/>
    <w:rsid w:val="00C257B1"/>
    <w:rsid w:val="00C277D3"/>
    <w:rsid w:val="00C27831"/>
    <w:rsid w:val="00C3679A"/>
    <w:rsid w:val="00C36897"/>
    <w:rsid w:val="00C45671"/>
    <w:rsid w:val="00C476B9"/>
    <w:rsid w:val="00C56046"/>
    <w:rsid w:val="00C5751F"/>
    <w:rsid w:val="00C57761"/>
    <w:rsid w:val="00C622A4"/>
    <w:rsid w:val="00C62D20"/>
    <w:rsid w:val="00C715EB"/>
    <w:rsid w:val="00C7267E"/>
    <w:rsid w:val="00C74065"/>
    <w:rsid w:val="00C82369"/>
    <w:rsid w:val="00C9050C"/>
    <w:rsid w:val="00C928D4"/>
    <w:rsid w:val="00C93AF6"/>
    <w:rsid w:val="00C950FB"/>
    <w:rsid w:val="00C95595"/>
    <w:rsid w:val="00C97F13"/>
    <w:rsid w:val="00CA01A5"/>
    <w:rsid w:val="00CA2933"/>
    <w:rsid w:val="00CB12F1"/>
    <w:rsid w:val="00CB2565"/>
    <w:rsid w:val="00CB2CBC"/>
    <w:rsid w:val="00CB4AFA"/>
    <w:rsid w:val="00CC0F43"/>
    <w:rsid w:val="00CC15C5"/>
    <w:rsid w:val="00CC1FA8"/>
    <w:rsid w:val="00CC27E1"/>
    <w:rsid w:val="00CD0FF5"/>
    <w:rsid w:val="00CD3EAF"/>
    <w:rsid w:val="00CD4C46"/>
    <w:rsid w:val="00CD7315"/>
    <w:rsid w:val="00CD732A"/>
    <w:rsid w:val="00CE017B"/>
    <w:rsid w:val="00CE1ACB"/>
    <w:rsid w:val="00CE2D3F"/>
    <w:rsid w:val="00CE3C7D"/>
    <w:rsid w:val="00CE4E1D"/>
    <w:rsid w:val="00CE6C93"/>
    <w:rsid w:val="00CE72BE"/>
    <w:rsid w:val="00CF2142"/>
    <w:rsid w:val="00CF25E0"/>
    <w:rsid w:val="00CF2AC7"/>
    <w:rsid w:val="00CF2DB8"/>
    <w:rsid w:val="00CF3568"/>
    <w:rsid w:val="00CF36EE"/>
    <w:rsid w:val="00CF4EEC"/>
    <w:rsid w:val="00CF5F76"/>
    <w:rsid w:val="00CF61FD"/>
    <w:rsid w:val="00CF7EAE"/>
    <w:rsid w:val="00D00D54"/>
    <w:rsid w:val="00D021DA"/>
    <w:rsid w:val="00D04261"/>
    <w:rsid w:val="00D05C13"/>
    <w:rsid w:val="00D074D7"/>
    <w:rsid w:val="00D111EB"/>
    <w:rsid w:val="00D11C1A"/>
    <w:rsid w:val="00D126E2"/>
    <w:rsid w:val="00D15DDC"/>
    <w:rsid w:val="00D17138"/>
    <w:rsid w:val="00D17674"/>
    <w:rsid w:val="00D203BE"/>
    <w:rsid w:val="00D215B2"/>
    <w:rsid w:val="00D23952"/>
    <w:rsid w:val="00D31368"/>
    <w:rsid w:val="00D316FD"/>
    <w:rsid w:val="00D31E80"/>
    <w:rsid w:val="00D324AE"/>
    <w:rsid w:val="00D32BEC"/>
    <w:rsid w:val="00D32C12"/>
    <w:rsid w:val="00D34EA8"/>
    <w:rsid w:val="00D3579A"/>
    <w:rsid w:val="00D36A80"/>
    <w:rsid w:val="00D4054C"/>
    <w:rsid w:val="00D41BE3"/>
    <w:rsid w:val="00D42A50"/>
    <w:rsid w:val="00D43551"/>
    <w:rsid w:val="00D45C07"/>
    <w:rsid w:val="00D47217"/>
    <w:rsid w:val="00D51C98"/>
    <w:rsid w:val="00D51EAB"/>
    <w:rsid w:val="00D53A66"/>
    <w:rsid w:val="00D53A73"/>
    <w:rsid w:val="00D55521"/>
    <w:rsid w:val="00D6040D"/>
    <w:rsid w:val="00D642B8"/>
    <w:rsid w:val="00D65C0B"/>
    <w:rsid w:val="00D70744"/>
    <w:rsid w:val="00D70AFC"/>
    <w:rsid w:val="00D71772"/>
    <w:rsid w:val="00D73DC9"/>
    <w:rsid w:val="00D812D7"/>
    <w:rsid w:val="00D905E6"/>
    <w:rsid w:val="00D9206B"/>
    <w:rsid w:val="00D92462"/>
    <w:rsid w:val="00D96F4B"/>
    <w:rsid w:val="00D97675"/>
    <w:rsid w:val="00DA1E75"/>
    <w:rsid w:val="00DA4E81"/>
    <w:rsid w:val="00DA5775"/>
    <w:rsid w:val="00DB01C0"/>
    <w:rsid w:val="00DB1261"/>
    <w:rsid w:val="00DB551B"/>
    <w:rsid w:val="00DB6E58"/>
    <w:rsid w:val="00DB6E5A"/>
    <w:rsid w:val="00DC02AA"/>
    <w:rsid w:val="00DC02F3"/>
    <w:rsid w:val="00DC1D50"/>
    <w:rsid w:val="00DC2B34"/>
    <w:rsid w:val="00DC39FA"/>
    <w:rsid w:val="00DC4C7E"/>
    <w:rsid w:val="00DC4CF1"/>
    <w:rsid w:val="00DC7EE9"/>
    <w:rsid w:val="00DD160D"/>
    <w:rsid w:val="00DD2C85"/>
    <w:rsid w:val="00DD5968"/>
    <w:rsid w:val="00DD6049"/>
    <w:rsid w:val="00DD6C92"/>
    <w:rsid w:val="00DD76DC"/>
    <w:rsid w:val="00DE0556"/>
    <w:rsid w:val="00DE3CD5"/>
    <w:rsid w:val="00DE69C1"/>
    <w:rsid w:val="00DE69F4"/>
    <w:rsid w:val="00DE7428"/>
    <w:rsid w:val="00DF02DF"/>
    <w:rsid w:val="00DF0D4C"/>
    <w:rsid w:val="00DF2DA9"/>
    <w:rsid w:val="00DF55DC"/>
    <w:rsid w:val="00E04DCE"/>
    <w:rsid w:val="00E20154"/>
    <w:rsid w:val="00E205C0"/>
    <w:rsid w:val="00E22604"/>
    <w:rsid w:val="00E226AD"/>
    <w:rsid w:val="00E23353"/>
    <w:rsid w:val="00E2500F"/>
    <w:rsid w:val="00E253B3"/>
    <w:rsid w:val="00E26382"/>
    <w:rsid w:val="00E2712C"/>
    <w:rsid w:val="00E30403"/>
    <w:rsid w:val="00E311CA"/>
    <w:rsid w:val="00E313FA"/>
    <w:rsid w:val="00E34123"/>
    <w:rsid w:val="00E34C0D"/>
    <w:rsid w:val="00E3584B"/>
    <w:rsid w:val="00E411C4"/>
    <w:rsid w:val="00E41373"/>
    <w:rsid w:val="00E41C20"/>
    <w:rsid w:val="00E42473"/>
    <w:rsid w:val="00E42E4E"/>
    <w:rsid w:val="00E4351D"/>
    <w:rsid w:val="00E43FCB"/>
    <w:rsid w:val="00E4489D"/>
    <w:rsid w:val="00E4528B"/>
    <w:rsid w:val="00E47550"/>
    <w:rsid w:val="00E50DAC"/>
    <w:rsid w:val="00E516A7"/>
    <w:rsid w:val="00E52987"/>
    <w:rsid w:val="00E6223A"/>
    <w:rsid w:val="00E62C70"/>
    <w:rsid w:val="00E63650"/>
    <w:rsid w:val="00E64E14"/>
    <w:rsid w:val="00E70993"/>
    <w:rsid w:val="00E71197"/>
    <w:rsid w:val="00E74E1E"/>
    <w:rsid w:val="00E80EBD"/>
    <w:rsid w:val="00E82492"/>
    <w:rsid w:val="00E8584B"/>
    <w:rsid w:val="00E87642"/>
    <w:rsid w:val="00E90745"/>
    <w:rsid w:val="00E91491"/>
    <w:rsid w:val="00E91643"/>
    <w:rsid w:val="00E9618A"/>
    <w:rsid w:val="00EA2C0F"/>
    <w:rsid w:val="00EA44F7"/>
    <w:rsid w:val="00EA5B3B"/>
    <w:rsid w:val="00EB64B8"/>
    <w:rsid w:val="00EC1809"/>
    <w:rsid w:val="00EC1987"/>
    <w:rsid w:val="00EC1E58"/>
    <w:rsid w:val="00EC2558"/>
    <w:rsid w:val="00EC2C9A"/>
    <w:rsid w:val="00EC392E"/>
    <w:rsid w:val="00EC42D0"/>
    <w:rsid w:val="00EC64CE"/>
    <w:rsid w:val="00EC6A54"/>
    <w:rsid w:val="00EC778C"/>
    <w:rsid w:val="00ED2915"/>
    <w:rsid w:val="00ED5B22"/>
    <w:rsid w:val="00EE4C32"/>
    <w:rsid w:val="00EF13BC"/>
    <w:rsid w:val="00EF3E02"/>
    <w:rsid w:val="00EF4696"/>
    <w:rsid w:val="00EF476A"/>
    <w:rsid w:val="00EF4C0A"/>
    <w:rsid w:val="00EF6392"/>
    <w:rsid w:val="00EF6D91"/>
    <w:rsid w:val="00F04ECB"/>
    <w:rsid w:val="00F06692"/>
    <w:rsid w:val="00F066FC"/>
    <w:rsid w:val="00F07FE4"/>
    <w:rsid w:val="00F13C06"/>
    <w:rsid w:val="00F14825"/>
    <w:rsid w:val="00F15C9C"/>
    <w:rsid w:val="00F17E03"/>
    <w:rsid w:val="00F2021F"/>
    <w:rsid w:val="00F21252"/>
    <w:rsid w:val="00F218B0"/>
    <w:rsid w:val="00F225F6"/>
    <w:rsid w:val="00F2379C"/>
    <w:rsid w:val="00F23E21"/>
    <w:rsid w:val="00F24F34"/>
    <w:rsid w:val="00F26D13"/>
    <w:rsid w:val="00F27C15"/>
    <w:rsid w:val="00F30D3F"/>
    <w:rsid w:val="00F31117"/>
    <w:rsid w:val="00F31D0F"/>
    <w:rsid w:val="00F32567"/>
    <w:rsid w:val="00F33641"/>
    <w:rsid w:val="00F33A48"/>
    <w:rsid w:val="00F34456"/>
    <w:rsid w:val="00F42958"/>
    <w:rsid w:val="00F47C1B"/>
    <w:rsid w:val="00F5320A"/>
    <w:rsid w:val="00F53414"/>
    <w:rsid w:val="00F54028"/>
    <w:rsid w:val="00F546E3"/>
    <w:rsid w:val="00F5537E"/>
    <w:rsid w:val="00F56ECC"/>
    <w:rsid w:val="00F57E5A"/>
    <w:rsid w:val="00F6008A"/>
    <w:rsid w:val="00F638DB"/>
    <w:rsid w:val="00F70801"/>
    <w:rsid w:val="00F75B0A"/>
    <w:rsid w:val="00F81415"/>
    <w:rsid w:val="00F826BC"/>
    <w:rsid w:val="00F82954"/>
    <w:rsid w:val="00F83194"/>
    <w:rsid w:val="00F85A0E"/>
    <w:rsid w:val="00F90073"/>
    <w:rsid w:val="00F929DD"/>
    <w:rsid w:val="00F937CC"/>
    <w:rsid w:val="00FA0E73"/>
    <w:rsid w:val="00FA39CE"/>
    <w:rsid w:val="00FA5DC8"/>
    <w:rsid w:val="00FB1CBB"/>
    <w:rsid w:val="00FB4B64"/>
    <w:rsid w:val="00FB5153"/>
    <w:rsid w:val="00FB6D3D"/>
    <w:rsid w:val="00FC15C4"/>
    <w:rsid w:val="00FC184C"/>
    <w:rsid w:val="00FC3D25"/>
    <w:rsid w:val="00FC4558"/>
    <w:rsid w:val="00FC4FC7"/>
    <w:rsid w:val="00FC5761"/>
    <w:rsid w:val="00FC61A1"/>
    <w:rsid w:val="00FC67B2"/>
    <w:rsid w:val="00FD4110"/>
    <w:rsid w:val="00FD657E"/>
    <w:rsid w:val="00FE0B92"/>
    <w:rsid w:val="00FE2161"/>
    <w:rsid w:val="00FE3FF1"/>
    <w:rsid w:val="00FF019A"/>
    <w:rsid w:val="00FF1F65"/>
    <w:rsid w:val="00FF5488"/>
    <w:rsid w:val="00FF57A1"/>
    <w:rsid w:val="00FF6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9E2C7"/>
  <w15:docId w15:val="{89BA1910-A1FC-4A74-B8E8-BAED6BB3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BB"/>
    <w:pPr>
      <w:spacing w:after="177" w:line="248" w:lineRule="auto"/>
      <w:ind w:left="8" w:right="1167" w:hanging="8"/>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64" w:line="250" w:lineRule="auto"/>
      <w:ind w:left="10" w:right="571"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64" w:line="250" w:lineRule="auto"/>
      <w:ind w:left="10" w:right="571"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64" w:line="250" w:lineRule="auto"/>
      <w:ind w:left="10" w:right="571"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164" w:line="250" w:lineRule="auto"/>
      <w:ind w:left="10" w:right="571"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uiPriority w:val="9"/>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paragraph" w:styleId="Revision">
    <w:name w:val="Revision"/>
    <w:hidden/>
    <w:uiPriority w:val="99"/>
    <w:semiHidden/>
    <w:rsid w:val="002F029D"/>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E34C0D"/>
    <w:pPr>
      <w:ind w:left="720"/>
      <w:contextualSpacing/>
    </w:pPr>
  </w:style>
  <w:style w:type="paragraph" w:styleId="Header">
    <w:name w:val="header"/>
    <w:basedOn w:val="Normal"/>
    <w:link w:val="HeaderChar"/>
    <w:uiPriority w:val="99"/>
    <w:unhideWhenUsed/>
    <w:rsid w:val="00BE1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274"/>
    <w:rPr>
      <w:rFonts w:ascii="Times New Roman" w:eastAsia="Times New Roman" w:hAnsi="Times New Roman" w:cs="Times New Roman"/>
      <w:color w:val="000000"/>
    </w:rPr>
  </w:style>
  <w:style w:type="paragraph" w:styleId="Footer">
    <w:name w:val="footer"/>
    <w:basedOn w:val="Normal"/>
    <w:link w:val="FooterChar"/>
    <w:uiPriority w:val="99"/>
    <w:unhideWhenUsed/>
    <w:rsid w:val="00BE1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274"/>
    <w:rPr>
      <w:rFonts w:ascii="Times New Roman" w:eastAsia="Times New Roman" w:hAnsi="Times New Roman" w:cs="Times New Roman"/>
      <w:color w:val="000000"/>
    </w:rPr>
  </w:style>
  <w:style w:type="paragraph" w:styleId="TOCHeading">
    <w:name w:val="TOC Heading"/>
    <w:basedOn w:val="Heading1"/>
    <w:next w:val="Normal"/>
    <w:uiPriority w:val="39"/>
    <w:unhideWhenUsed/>
    <w:qFormat/>
    <w:rsid w:val="00405783"/>
    <w:pPr>
      <w:spacing w:before="240" w:after="0" w:line="259" w:lineRule="auto"/>
      <w:ind w:left="0" w:righ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724ED6"/>
    <w:pPr>
      <w:tabs>
        <w:tab w:val="left" w:pos="660"/>
        <w:tab w:val="right" w:leader="dot" w:pos="9622"/>
      </w:tabs>
      <w:spacing w:after="100"/>
      <w:ind w:left="220"/>
    </w:pPr>
  </w:style>
  <w:style w:type="paragraph" w:styleId="TOC3">
    <w:name w:val="toc 3"/>
    <w:basedOn w:val="Normal"/>
    <w:next w:val="Normal"/>
    <w:autoRedefine/>
    <w:uiPriority w:val="39"/>
    <w:unhideWhenUsed/>
    <w:rsid w:val="002350EF"/>
    <w:pPr>
      <w:tabs>
        <w:tab w:val="left" w:pos="880"/>
        <w:tab w:val="right" w:leader="dot" w:pos="9622"/>
      </w:tabs>
      <w:spacing w:after="100"/>
      <w:ind w:left="440"/>
    </w:pPr>
  </w:style>
  <w:style w:type="character" w:styleId="Hyperlink">
    <w:name w:val="Hyperlink"/>
    <w:basedOn w:val="DefaultParagraphFont"/>
    <w:uiPriority w:val="99"/>
    <w:unhideWhenUsed/>
    <w:rsid w:val="00405783"/>
    <w:rPr>
      <w:color w:val="0563C1" w:themeColor="hyperlink"/>
      <w:u w:val="single"/>
    </w:rPr>
  </w:style>
  <w:style w:type="paragraph" w:styleId="TOC1">
    <w:name w:val="toc 1"/>
    <w:basedOn w:val="Normal"/>
    <w:next w:val="Normal"/>
    <w:autoRedefine/>
    <w:uiPriority w:val="39"/>
    <w:unhideWhenUsed/>
    <w:rsid w:val="00CF7EAE"/>
    <w:pPr>
      <w:spacing w:after="100"/>
      <w:ind w:left="0"/>
    </w:pPr>
  </w:style>
  <w:style w:type="character" w:styleId="CommentReference">
    <w:name w:val="annotation reference"/>
    <w:basedOn w:val="DefaultParagraphFont"/>
    <w:uiPriority w:val="99"/>
    <w:semiHidden/>
    <w:unhideWhenUsed/>
    <w:rsid w:val="00AC4A0D"/>
    <w:rPr>
      <w:sz w:val="16"/>
      <w:szCs w:val="16"/>
    </w:rPr>
  </w:style>
  <w:style w:type="paragraph" w:styleId="CommentText">
    <w:name w:val="annotation text"/>
    <w:basedOn w:val="Normal"/>
    <w:link w:val="CommentTextChar"/>
    <w:uiPriority w:val="99"/>
    <w:unhideWhenUsed/>
    <w:rsid w:val="00AC4A0D"/>
    <w:pPr>
      <w:spacing w:line="240" w:lineRule="auto"/>
    </w:pPr>
    <w:rPr>
      <w:sz w:val="20"/>
      <w:szCs w:val="20"/>
    </w:rPr>
  </w:style>
  <w:style w:type="character" w:customStyle="1" w:styleId="CommentTextChar">
    <w:name w:val="Comment Text Char"/>
    <w:basedOn w:val="DefaultParagraphFont"/>
    <w:link w:val="CommentText"/>
    <w:uiPriority w:val="99"/>
    <w:rsid w:val="00AC4A0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C4A0D"/>
    <w:rPr>
      <w:b/>
      <w:bCs/>
    </w:rPr>
  </w:style>
  <w:style w:type="character" w:customStyle="1" w:styleId="CommentSubjectChar">
    <w:name w:val="Comment Subject Char"/>
    <w:basedOn w:val="CommentTextChar"/>
    <w:link w:val="CommentSubject"/>
    <w:uiPriority w:val="99"/>
    <w:semiHidden/>
    <w:rsid w:val="00AC4A0D"/>
    <w:rPr>
      <w:rFonts w:ascii="Times New Roman" w:eastAsia="Times New Roman" w:hAnsi="Times New Roman" w:cs="Times New Roman"/>
      <w:b/>
      <w:bCs/>
      <w:color w:val="000000"/>
      <w:sz w:val="20"/>
      <w:szCs w:val="20"/>
    </w:rPr>
  </w:style>
  <w:style w:type="table" w:customStyle="1" w:styleId="table">
    <w:name w:val="table"/>
    <w:basedOn w:val="TableNormal"/>
    <w:rsid w:val="00D42A50"/>
    <w:pPr>
      <w:spacing w:after="0" w:line="240" w:lineRule="auto"/>
    </w:pPr>
    <w:rPr>
      <w:rFonts w:ascii="Times New Roman" w:eastAsia="Times New Roman" w:hAnsi="Times New Roman" w:cs="Times New Roman"/>
      <w:sz w:val="20"/>
      <w:szCs w:val="20"/>
    </w:rPr>
    <w:tblPr/>
  </w:style>
  <w:style w:type="table" w:customStyle="1" w:styleId="p11">
    <w:name w:val="p1_1"/>
    <w:basedOn w:val="TableNormal"/>
    <w:rsid w:val="00D42A50"/>
    <w:pPr>
      <w:spacing w:after="0" w:line="240" w:lineRule="auto"/>
    </w:pPr>
    <w:rPr>
      <w:rFonts w:ascii="Times New Roman" w:eastAsia="Times New Roman" w:hAnsi="Times New Roman" w:cs="Times New Roman"/>
      <w:sz w:val="20"/>
      <w:szCs w:val="20"/>
    </w:rPr>
    <w:tblPr/>
  </w:style>
  <w:style w:type="table" w:customStyle="1" w:styleId="p21">
    <w:name w:val="p2_1"/>
    <w:basedOn w:val="TableNormal"/>
    <w:rsid w:val="00D42A50"/>
    <w:pPr>
      <w:spacing w:after="0" w:line="240" w:lineRule="auto"/>
    </w:pPr>
    <w:rPr>
      <w:rFonts w:ascii="Times New Roman" w:eastAsia="Times New Roman" w:hAnsi="Times New Roman" w:cs="Times New Roman"/>
      <w:sz w:val="20"/>
      <w:szCs w:val="20"/>
    </w:rPr>
    <w:tblPr/>
  </w:style>
  <w:style w:type="paragraph" w:customStyle="1" w:styleId="TableParagraph">
    <w:name w:val="Table Paragraph"/>
    <w:basedOn w:val="Normal"/>
    <w:uiPriority w:val="1"/>
    <w:qFormat/>
    <w:rsid w:val="001A1D25"/>
    <w:pPr>
      <w:widowControl w:val="0"/>
      <w:autoSpaceDE w:val="0"/>
      <w:autoSpaceDN w:val="0"/>
      <w:spacing w:after="0" w:line="240" w:lineRule="auto"/>
      <w:ind w:left="0" w:right="0" w:firstLine="0"/>
      <w:jc w:val="left"/>
    </w:pPr>
    <w:rPr>
      <w:color w:val="auto"/>
      <w:lang w:val="en-US" w:eastAsia="en-US"/>
    </w:rPr>
  </w:style>
  <w:style w:type="paragraph" w:customStyle="1" w:styleId="iLAWS310Paragraph">
    <w:name w:val="iLAWS_310__Paragraph"/>
    <w:rsid w:val="00877530"/>
    <w:pPr>
      <w:tabs>
        <w:tab w:val="left" w:pos="1134"/>
      </w:tabs>
      <w:suppressAutoHyphens/>
      <w:spacing w:before="80" w:after="40" w:line="240" w:lineRule="auto"/>
      <w:ind w:left="1134" w:hanging="567"/>
      <w:jc w:val="both"/>
    </w:pPr>
    <w:rPr>
      <w:rFonts w:ascii="Times New Roman" w:eastAsia="MS Mincho" w:hAnsi="Times New Roman" w:cs="Times New Roman"/>
      <w:lang w:eastAsia="en-US"/>
    </w:rPr>
  </w:style>
  <w:style w:type="paragraph" w:customStyle="1" w:styleId="iLAWS320SubParagraph">
    <w:name w:val="iLAWS_320___SubParagraph"/>
    <w:rsid w:val="00877530"/>
    <w:pPr>
      <w:tabs>
        <w:tab w:val="left" w:pos="1701"/>
      </w:tabs>
      <w:suppressAutoHyphens/>
      <w:spacing w:before="80" w:after="40" w:line="240" w:lineRule="auto"/>
      <w:ind w:left="1701" w:hanging="567"/>
      <w:jc w:val="both"/>
    </w:pPr>
    <w:rPr>
      <w:rFonts w:ascii="Times New Roman" w:eastAsia="Times New Roman" w:hAnsi="Times New Roman" w:cs="Times New Roman"/>
      <w:color w:val="000000"/>
      <w:lang w:eastAsia="en-US"/>
    </w:rPr>
  </w:style>
  <w:style w:type="character" w:customStyle="1" w:styleId="iLAWS914ArticleNumber">
    <w:name w:val="iLAWS_914_Article_Number"/>
    <w:rsid w:val="00877530"/>
    <w:rPr>
      <w:rFonts w:ascii="Calibri" w:hAnsi="Calibri"/>
      <w:dstrike w:val="0"/>
      <w:color w:val="auto"/>
      <w:sz w:val="24"/>
      <w:szCs w:val="22"/>
      <w:vertAlign w:val="baseline"/>
      <w:lang w:val="en-GB"/>
    </w:rPr>
  </w:style>
  <w:style w:type="paragraph" w:customStyle="1" w:styleId="iLAWS300ArticleIndent">
    <w:name w:val="iLAWS_300_Article_Indent"/>
    <w:basedOn w:val="iLAWS300Article"/>
    <w:semiHidden/>
    <w:rsid w:val="00877530"/>
    <w:pPr>
      <w:pBdr>
        <w:left w:val="single" w:sz="12" w:space="28" w:color="008000"/>
      </w:pBdr>
      <w:tabs>
        <w:tab w:val="clear" w:pos="567"/>
        <w:tab w:val="left" w:pos="1134"/>
      </w:tabs>
      <w:ind w:left="1134"/>
      <w:outlineLvl w:val="9"/>
    </w:pPr>
  </w:style>
  <w:style w:type="paragraph" w:customStyle="1" w:styleId="iLAWS300Article">
    <w:name w:val="iLAWS_300_Article"/>
    <w:next w:val="iLAWS310Paragraph"/>
    <w:rsid w:val="00877530"/>
    <w:pPr>
      <w:keepNext/>
      <w:tabs>
        <w:tab w:val="left" w:pos="567"/>
      </w:tabs>
      <w:suppressAutoHyphens/>
      <w:spacing w:before="480" w:after="0" w:line="240" w:lineRule="auto"/>
      <w:ind w:left="567" w:hanging="567"/>
      <w:outlineLvl w:val="2"/>
    </w:pPr>
    <w:rPr>
      <w:rFonts w:ascii="Calibri" w:eastAsia="Times New Roman" w:hAnsi="Calibri" w:cs="Times New Roman"/>
      <w:b/>
      <w:sz w:val="24"/>
      <w:lang w:eastAsia="en-US"/>
    </w:rPr>
  </w:style>
  <w:style w:type="paragraph" w:customStyle="1" w:styleId="iLAWS301Paragraphunnumbered">
    <w:name w:val="iLAWS_301__Paragraph_unnumbered"/>
    <w:rsid w:val="00877530"/>
    <w:pPr>
      <w:suppressAutoHyphens/>
      <w:spacing w:before="80" w:after="40" w:line="240" w:lineRule="auto"/>
      <w:ind w:left="567"/>
      <w:jc w:val="both"/>
    </w:pPr>
    <w:rPr>
      <w:rFonts w:ascii="Times New Roman" w:eastAsia="Times New Roman" w:hAnsi="Times New Roman" w:cs="Times New Roman"/>
      <w:color w:val="000000"/>
      <w:lang w:eastAsia="en-US"/>
    </w:rPr>
  </w:style>
  <w:style w:type="paragraph" w:customStyle="1" w:styleId="iLAWS311ParagraphContinuedIndent">
    <w:name w:val="iLAWS_311__Paragraph_Continued_Indent"/>
    <w:basedOn w:val="Normal"/>
    <w:semiHidden/>
    <w:rsid w:val="00877530"/>
    <w:pPr>
      <w:pBdr>
        <w:left w:val="single" w:sz="12" w:space="28" w:color="008000"/>
      </w:pBdr>
      <w:tabs>
        <w:tab w:val="left" w:pos="1701"/>
        <w:tab w:val="left" w:pos="2268"/>
      </w:tabs>
      <w:suppressAutoHyphens/>
      <w:spacing w:before="80" w:after="40" w:line="240" w:lineRule="auto"/>
      <w:ind w:left="1701" w:right="0" w:firstLine="0"/>
    </w:pPr>
    <w:rPr>
      <w:rFonts w:eastAsia="MS Mincho"/>
      <w:color w:val="auto"/>
      <w:lang w:eastAsia="en-US"/>
    </w:rPr>
  </w:style>
  <w:style w:type="paragraph" w:customStyle="1" w:styleId="iLAWS310ParagraphIndent">
    <w:name w:val="iLAWS_310__Paragraph_Indent"/>
    <w:basedOn w:val="iLAWS310Paragraph"/>
    <w:semiHidden/>
    <w:rsid w:val="00877530"/>
    <w:pPr>
      <w:pBdr>
        <w:left w:val="single" w:sz="12" w:space="28" w:color="008000"/>
      </w:pBdr>
      <w:tabs>
        <w:tab w:val="clear" w:pos="1134"/>
        <w:tab w:val="left" w:pos="1701"/>
      </w:tabs>
      <w:ind w:left="1701"/>
    </w:pPr>
  </w:style>
  <w:style w:type="paragraph" w:customStyle="1" w:styleId="iLAWS320SubParagraphIndent">
    <w:name w:val="iLAWS_320___SubParagraph_Indent"/>
    <w:basedOn w:val="iLAWS320SubParagraph"/>
    <w:semiHidden/>
    <w:rsid w:val="00877530"/>
    <w:pPr>
      <w:pBdr>
        <w:left w:val="single" w:sz="12" w:space="28" w:color="008000"/>
      </w:pBdr>
      <w:tabs>
        <w:tab w:val="clear" w:pos="1701"/>
        <w:tab w:val="left" w:pos="2268"/>
      </w:tabs>
      <w:ind w:left="2268"/>
    </w:pPr>
  </w:style>
  <w:style w:type="character" w:customStyle="1" w:styleId="iLAWS915ParagraphCharacter">
    <w:name w:val="iLAWS_915_Paragraph_Character"/>
    <w:basedOn w:val="DefaultParagraphFont"/>
    <w:rsid w:val="00877530"/>
    <w:rPr>
      <w:rFonts w:ascii="Times New Roman" w:hAnsi="Times New Roman"/>
      <w:b w:val="0"/>
      <w:i w:val="0"/>
      <w:dstrike w:val="0"/>
      <w:vanish w:val="0"/>
      <w:color w:val="auto"/>
      <w:sz w:val="22"/>
      <w:szCs w:val="22"/>
      <w:vertAlign w:val="baseline"/>
      <w:lang w:val="en-GB"/>
    </w:rPr>
  </w:style>
  <w:style w:type="character" w:customStyle="1" w:styleId="iLAWS916SubParagraphCharacter">
    <w:name w:val="iLAWS_916_SubParagraph_Character"/>
    <w:rsid w:val="00877530"/>
    <w:rPr>
      <w:rFonts w:ascii="Times New Roman" w:hAnsi="Times New Roman"/>
      <w:b w:val="0"/>
      <w:dstrike w:val="0"/>
      <w:vanish w:val="0"/>
      <w:color w:val="auto"/>
      <w:sz w:val="22"/>
      <w:szCs w:val="22"/>
      <w:vertAlign w:val="baseline"/>
      <w:lang w:val="en-GB"/>
    </w:rPr>
  </w:style>
  <w:style w:type="character" w:customStyle="1" w:styleId="iLAWS914ArticleNumberIndent">
    <w:name w:val="iLAWS_914_Article_Number_Indent"/>
    <w:basedOn w:val="iLAWS914ArticleNumber"/>
    <w:uiPriority w:val="1"/>
    <w:rsid w:val="00877530"/>
    <w:rPr>
      <w:rFonts w:ascii="Calibri" w:hAnsi="Calibri"/>
      <w:dstrike w:val="0"/>
      <w:color w:val="auto"/>
      <w:sz w:val="24"/>
      <w:szCs w:val="22"/>
      <w:vertAlign w:val="baseline"/>
      <w:lang w:val="en-GB"/>
    </w:rPr>
  </w:style>
  <w:style w:type="character" w:styleId="UnresolvedMention">
    <w:name w:val="Unresolved Mention"/>
    <w:basedOn w:val="DefaultParagraphFont"/>
    <w:uiPriority w:val="99"/>
    <w:semiHidden/>
    <w:unhideWhenUsed/>
    <w:rsid w:val="00DB01C0"/>
    <w:rPr>
      <w:color w:val="605E5C"/>
      <w:shd w:val="clear" w:color="auto" w:fill="E1DFDD"/>
    </w:rPr>
  </w:style>
  <w:style w:type="paragraph" w:styleId="BalloonText">
    <w:name w:val="Balloon Text"/>
    <w:basedOn w:val="Normal"/>
    <w:link w:val="BalloonTextChar"/>
    <w:uiPriority w:val="99"/>
    <w:semiHidden/>
    <w:unhideWhenUsed/>
    <w:rsid w:val="00744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0D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64504">
      <w:bodyDiv w:val="1"/>
      <w:marLeft w:val="0"/>
      <w:marRight w:val="0"/>
      <w:marTop w:val="0"/>
      <w:marBottom w:val="0"/>
      <w:divBdr>
        <w:top w:val="none" w:sz="0" w:space="0" w:color="auto"/>
        <w:left w:val="none" w:sz="0" w:space="0" w:color="auto"/>
        <w:bottom w:val="none" w:sz="0" w:space="0" w:color="auto"/>
        <w:right w:val="none" w:sz="0" w:space="0" w:color="auto"/>
      </w:divBdr>
    </w:div>
    <w:div w:id="1230069065">
      <w:bodyDiv w:val="1"/>
      <w:marLeft w:val="0"/>
      <w:marRight w:val="0"/>
      <w:marTop w:val="0"/>
      <w:marBottom w:val="0"/>
      <w:divBdr>
        <w:top w:val="none" w:sz="0" w:space="0" w:color="auto"/>
        <w:left w:val="none" w:sz="0" w:space="0" w:color="auto"/>
        <w:bottom w:val="none" w:sz="0" w:space="0" w:color="auto"/>
        <w:right w:val="none" w:sz="0" w:space="0" w:color="auto"/>
      </w:divBdr>
      <w:divsChild>
        <w:div w:id="2016808545">
          <w:marLeft w:val="0"/>
          <w:marRight w:val="0"/>
          <w:marTop w:val="0"/>
          <w:marBottom w:val="0"/>
          <w:divBdr>
            <w:top w:val="none" w:sz="0" w:space="0" w:color="auto"/>
            <w:left w:val="none" w:sz="0" w:space="0" w:color="auto"/>
            <w:bottom w:val="none" w:sz="0" w:space="0" w:color="auto"/>
            <w:right w:val="none" w:sz="0" w:space="0" w:color="auto"/>
          </w:divBdr>
        </w:div>
        <w:div w:id="1842962658">
          <w:marLeft w:val="0"/>
          <w:marRight w:val="0"/>
          <w:marTop w:val="0"/>
          <w:marBottom w:val="0"/>
          <w:divBdr>
            <w:top w:val="none" w:sz="0" w:space="0" w:color="auto"/>
            <w:left w:val="none" w:sz="0" w:space="0" w:color="auto"/>
            <w:bottom w:val="none" w:sz="0" w:space="0" w:color="auto"/>
            <w:right w:val="none" w:sz="0" w:space="0" w:color="auto"/>
          </w:divBdr>
        </w:div>
        <w:div w:id="14640385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thetakeoverpanel.org.uk/tp/definitions/d_offeror.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8D24-2A18-404F-9A5F-EC6BAFF2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1567</Words>
  <Characters>7577</Characters>
  <Application>Microsoft Office Word</Application>
  <DocSecurity>0</DocSecurity>
  <Lines>152</Lines>
  <Paragraphs>97</Paragraphs>
  <ScaleCrop>false</ScaleCrop>
  <HeadingPairs>
    <vt:vector size="2" baseType="variant">
      <vt:variant>
        <vt:lpstr>Title</vt:lpstr>
      </vt:variant>
      <vt:variant>
        <vt:i4>1</vt:i4>
      </vt:variant>
    </vt:vector>
  </HeadingPairs>
  <TitlesOfParts>
    <vt:vector size="1" baseType="lpstr">
      <vt:lpstr>REVISED LAWS OF MAURITIUS 2000</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LAWS OF MAURITIUS 2000</dc:title>
  <dc:subject/>
  <dc:creator>K</dc:creator>
  <cp:keywords/>
  <cp:lastModifiedBy>Karen Stephen-Dalton</cp:lastModifiedBy>
  <cp:revision>3</cp:revision>
  <cp:lastPrinted>2023-06-26T01:25:00Z</cp:lastPrinted>
  <dcterms:created xsi:type="dcterms:W3CDTF">2023-12-06T13:02:00Z</dcterms:created>
  <dcterms:modified xsi:type="dcterms:W3CDTF">2023-12-06T13:02:00Z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d4fd4c72b78b048b1b9f91bcf5efe9cbe9e6b4b25e7d7e910646dd61def4de73</vt:lpwstr>
  </property>
</Properties>
</file>